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282BD"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297058F7" w14:textId="77777777" w:rsidTr="005F7F7E">
        <w:tc>
          <w:tcPr>
            <w:tcW w:w="2438" w:type="dxa"/>
            <w:shd w:val="clear" w:color="auto" w:fill="auto"/>
          </w:tcPr>
          <w:p w14:paraId="7FAE6AFE"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14B8669" w14:textId="77777777" w:rsidR="00F445B1" w:rsidRPr="00F95BC9" w:rsidRDefault="00116240" w:rsidP="00471319">
            <w:pPr>
              <w:rPr>
                <w:rStyle w:val="Firstpagetablebold"/>
              </w:rPr>
            </w:pPr>
            <w:r>
              <w:rPr>
                <w:rStyle w:val="Firstpagetablebold"/>
              </w:rPr>
              <w:t>General Purposes Licensing</w:t>
            </w:r>
            <w:r w:rsidR="004D481B">
              <w:rPr>
                <w:rStyle w:val="Firstpagetablebold"/>
              </w:rPr>
              <w:t xml:space="preserve"> </w:t>
            </w:r>
            <w:r w:rsidR="008A43AA">
              <w:rPr>
                <w:rStyle w:val="Firstpagetablebold"/>
              </w:rPr>
              <w:t>Committee</w:t>
            </w:r>
          </w:p>
        </w:tc>
      </w:tr>
      <w:tr w:rsidR="00CE544A" w:rsidRPr="00975B07" w14:paraId="4EA7284C" w14:textId="77777777" w:rsidTr="005F7F7E">
        <w:tc>
          <w:tcPr>
            <w:tcW w:w="2438" w:type="dxa"/>
            <w:shd w:val="clear" w:color="auto" w:fill="auto"/>
          </w:tcPr>
          <w:p w14:paraId="5611C802"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332CB1F" w14:textId="4E5FEFE6" w:rsidR="00F445B1" w:rsidRPr="001356F1" w:rsidRDefault="009C0276" w:rsidP="005D0621">
            <w:pPr>
              <w:rPr>
                <w:b/>
              </w:rPr>
            </w:pPr>
            <w:r>
              <w:rPr>
                <w:rStyle w:val="Firstpagetablebold"/>
              </w:rPr>
              <w:t>22 September 2020</w:t>
            </w:r>
          </w:p>
        </w:tc>
      </w:tr>
      <w:tr w:rsidR="00CE544A" w:rsidRPr="00975B07" w14:paraId="33170F7A" w14:textId="77777777" w:rsidTr="005F7F7E">
        <w:tc>
          <w:tcPr>
            <w:tcW w:w="2438" w:type="dxa"/>
            <w:shd w:val="clear" w:color="auto" w:fill="auto"/>
          </w:tcPr>
          <w:p w14:paraId="7DC1C2C0"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D593A1C" w14:textId="77777777" w:rsidR="00F445B1" w:rsidRPr="001356F1" w:rsidRDefault="00116240" w:rsidP="004A6D2F">
            <w:pPr>
              <w:rPr>
                <w:rStyle w:val="Firstpagetablebold"/>
              </w:rPr>
            </w:pPr>
            <w:r>
              <w:rPr>
                <w:rStyle w:val="Firstpagetablebold"/>
              </w:rPr>
              <w:t>Head of Regulatory Services and Community Safety</w:t>
            </w:r>
          </w:p>
        </w:tc>
      </w:tr>
      <w:tr w:rsidR="00CE544A" w:rsidRPr="00975B07" w14:paraId="45B76252" w14:textId="77777777" w:rsidTr="005F7F7E">
        <w:tc>
          <w:tcPr>
            <w:tcW w:w="2438" w:type="dxa"/>
            <w:shd w:val="clear" w:color="auto" w:fill="auto"/>
          </w:tcPr>
          <w:p w14:paraId="16B983DB"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6041570" w14:textId="77777777" w:rsidR="00F445B1" w:rsidRPr="001356F1" w:rsidRDefault="00116240" w:rsidP="008A43AA">
            <w:pPr>
              <w:rPr>
                <w:rStyle w:val="Firstpagetablebold"/>
              </w:rPr>
            </w:pPr>
            <w:r>
              <w:rPr>
                <w:rFonts w:cs="Arial"/>
                <w:b/>
                <w:bCs/>
              </w:rPr>
              <w:t xml:space="preserve">Application for Variation </w:t>
            </w:r>
            <w:r w:rsidR="00113FB5">
              <w:rPr>
                <w:rFonts w:cs="Arial"/>
                <w:b/>
                <w:bCs/>
              </w:rPr>
              <w:t xml:space="preserve">(increase) </w:t>
            </w:r>
            <w:r>
              <w:rPr>
                <w:rFonts w:cs="Arial"/>
                <w:b/>
                <w:bCs/>
              </w:rPr>
              <w:t xml:space="preserve">of </w:t>
            </w:r>
            <w:r w:rsidR="00113FB5">
              <w:rPr>
                <w:rFonts w:cs="Arial"/>
                <w:b/>
                <w:bCs/>
              </w:rPr>
              <w:t xml:space="preserve">the current Hackney Carriage </w:t>
            </w:r>
            <w:r>
              <w:rPr>
                <w:rFonts w:cs="Arial"/>
                <w:b/>
                <w:bCs/>
              </w:rPr>
              <w:t>Tariffs</w:t>
            </w:r>
            <w:r w:rsidR="00800EB6">
              <w:rPr>
                <w:rFonts w:cs="Arial"/>
                <w:b/>
                <w:bCs/>
              </w:rPr>
              <w:t xml:space="preserve"> (table of fares)</w:t>
            </w:r>
          </w:p>
        </w:tc>
      </w:tr>
    </w:tbl>
    <w:p w14:paraId="2743CE90" w14:textId="77777777"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14:paraId="274CC893" w14:textId="77777777" w:rsidTr="00C44BAE">
        <w:tc>
          <w:tcPr>
            <w:tcW w:w="9356" w:type="dxa"/>
            <w:gridSpan w:val="3"/>
            <w:tcBorders>
              <w:top w:val="single" w:sz="4" w:space="0" w:color="auto"/>
              <w:left w:val="single" w:sz="4" w:space="0" w:color="auto"/>
              <w:bottom w:val="single" w:sz="4" w:space="0" w:color="auto"/>
              <w:right w:val="single" w:sz="4" w:space="0" w:color="auto"/>
            </w:tcBorders>
            <w:hideMark/>
          </w:tcPr>
          <w:p w14:paraId="6F583DEE"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7C65015" w14:textId="77777777" w:rsidTr="00C44BAE">
        <w:trPr>
          <w:trHeight w:val="809"/>
        </w:trPr>
        <w:tc>
          <w:tcPr>
            <w:tcW w:w="3261" w:type="dxa"/>
            <w:gridSpan w:val="2"/>
            <w:tcBorders>
              <w:top w:val="single" w:sz="4" w:space="0" w:color="auto"/>
              <w:left w:val="single" w:sz="4" w:space="0" w:color="auto"/>
              <w:bottom w:val="nil"/>
              <w:right w:val="nil"/>
            </w:tcBorders>
            <w:hideMark/>
          </w:tcPr>
          <w:p w14:paraId="47B785A5" w14:textId="77777777" w:rsidR="00D5547E" w:rsidRDefault="00D5547E">
            <w:pPr>
              <w:rPr>
                <w:rStyle w:val="Firstpagetablebold"/>
              </w:rPr>
            </w:pPr>
            <w:r>
              <w:rPr>
                <w:rStyle w:val="Firstpagetablebold"/>
              </w:rPr>
              <w:t>Purpose of report:</w:t>
            </w:r>
          </w:p>
          <w:p w14:paraId="668EE767" w14:textId="77777777"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14:paraId="135039CE" w14:textId="760E3F9C" w:rsidR="00471319" w:rsidRPr="001356F1" w:rsidRDefault="00116240" w:rsidP="00800EB6">
            <w:r w:rsidRPr="00116240">
              <w:t xml:space="preserve">To consider </w:t>
            </w:r>
            <w:r w:rsidR="00A308CA">
              <w:t>an application</w:t>
            </w:r>
            <w:r w:rsidRPr="00116240">
              <w:t xml:space="preserve"> for a variation of </w:t>
            </w:r>
            <w:r w:rsidR="00C24646">
              <w:t xml:space="preserve">the </w:t>
            </w:r>
            <w:r w:rsidR="00A308CA">
              <w:t xml:space="preserve">current </w:t>
            </w:r>
            <w:r w:rsidRPr="00116240">
              <w:t xml:space="preserve"> Hackney Carriage </w:t>
            </w:r>
            <w:r w:rsidR="00C24646">
              <w:t>T</w:t>
            </w:r>
            <w:r w:rsidR="00800EB6">
              <w:t xml:space="preserve">able of </w:t>
            </w:r>
            <w:r w:rsidR="00C24646">
              <w:t>F</w:t>
            </w:r>
            <w:r w:rsidR="00800EB6">
              <w:t>ares</w:t>
            </w:r>
            <w:r w:rsidR="00800EB6" w:rsidRPr="00116240">
              <w:t xml:space="preserve"> </w:t>
            </w:r>
            <w:r w:rsidRPr="00116240">
              <w:t>from the City of Oxford Licensed Taxicab Association (COLTA)</w:t>
            </w:r>
          </w:p>
        </w:tc>
      </w:tr>
      <w:tr w:rsidR="00D57F03" w14:paraId="6D93C7E2" w14:textId="77777777" w:rsidTr="00C44BAE">
        <w:trPr>
          <w:trHeight w:val="531"/>
        </w:trPr>
        <w:tc>
          <w:tcPr>
            <w:tcW w:w="3261" w:type="dxa"/>
            <w:gridSpan w:val="2"/>
            <w:tcBorders>
              <w:top w:val="nil"/>
              <w:left w:val="single" w:sz="4" w:space="0" w:color="auto"/>
              <w:bottom w:val="nil"/>
              <w:right w:val="nil"/>
            </w:tcBorders>
          </w:tcPr>
          <w:p w14:paraId="5DFAEA9A" w14:textId="77777777"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14:paraId="7E06FFE4" w14:textId="77777777" w:rsidR="00D57F03" w:rsidRPr="00116240" w:rsidRDefault="00C7058E" w:rsidP="00D57F03">
            <w:pPr>
              <w:rPr>
                <w:highlight w:val="yellow"/>
              </w:rPr>
            </w:pPr>
            <w:r w:rsidRPr="002307F3">
              <w:t xml:space="preserve">Vibrant </w:t>
            </w:r>
            <w:r w:rsidR="00C24646">
              <w:t xml:space="preserve">and </w:t>
            </w:r>
            <w:r w:rsidRPr="002307F3">
              <w:t>Sustainable Economy</w:t>
            </w:r>
          </w:p>
        </w:tc>
      </w:tr>
      <w:tr w:rsidR="005F7F7E" w:rsidRPr="00975B07" w14:paraId="0B6A2E12" w14:textId="77777777" w:rsidTr="00C44BAE">
        <w:trPr>
          <w:trHeight w:val="413"/>
        </w:trPr>
        <w:tc>
          <w:tcPr>
            <w:tcW w:w="9356" w:type="dxa"/>
            <w:gridSpan w:val="3"/>
            <w:tcBorders>
              <w:bottom w:val="single" w:sz="8" w:space="0" w:color="000000"/>
            </w:tcBorders>
          </w:tcPr>
          <w:p w14:paraId="59682542" w14:textId="1D984799" w:rsidR="005F7F7E" w:rsidRPr="00975B07" w:rsidRDefault="005558DB" w:rsidP="00116240">
            <w:r>
              <w:rPr>
                <w:rStyle w:val="Firstpagetablebold"/>
              </w:rPr>
              <w:t>Recommendations</w:t>
            </w:r>
            <w:r w:rsidR="005F7F7E">
              <w:rPr>
                <w:rStyle w:val="Firstpagetablebold"/>
              </w:rPr>
              <w:t>:</w:t>
            </w:r>
            <w:r w:rsidR="005F7F7E" w:rsidRPr="008A43AA">
              <w:rPr>
                <w:rStyle w:val="Firstpagetablebold"/>
                <w:b w:val="0"/>
              </w:rPr>
              <w:t>That the</w:t>
            </w:r>
            <w:r w:rsidR="008A43AA" w:rsidRPr="008A43AA">
              <w:rPr>
                <w:rStyle w:val="Firstpagetablebold"/>
                <w:b w:val="0"/>
              </w:rPr>
              <w:t xml:space="preserve"> </w:t>
            </w:r>
            <w:r w:rsidR="00116240">
              <w:rPr>
                <w:rStyle w:val="Firstpagetablebold"/>
                <w:b w:val="0"/>
              </w:rPr>
              <w:t>General Purposes Licensing</w:t>
            </w:r>
            <w:r w:rsidR="005F7F7E" w:rsidRPr="008A43AA">
              <w:rPr>
                <w:rStyle w:val="Firstpagetablebold"/>
                <w:b w:val="0"/>
              </w:rPr>
              <w:t xml:space="preserve"> </w:t>
            </w:r>
            <w:r w:rsidR="008A43AA" w:rsidRPr="008A43AA">
              <w:rPr>
                <w:rStyle w:val="Firstpagetablebold"/>
                <w:b w:val="0"/>
              </w:rPr>
              <w:t xml:space="preserve">Committee </w:t>
            </w:r>
            <w:r w:rsidR="005F7F7E" w:rsidRPr="008A43AA">
              <w:rPr>
                <w:rStyle w:val="Firstpagetablebold"/>
                <w:b w:val="0"/>
              </w:rPr>
              <w:t>resolves to:</w:t>
            </w:r>
          </w:p>
        </w:tc>
      </w:tr>
      <w:tr w:rsidR="0030208D" w:rsidRPr="00975B07" w14:paraId="451B4BA8" w14:textId="77777777" w:rsidTr="002307F3">
        <w:trPr>
          <w:trHeight w:val="64"/>
        </w:trPr>
        <w:tc>
          <w:tcPr>
            <w:tcW w:w="426" w:type="dxa"/>
            <w:tcBorders>
              <w:top w:val="single" w:sz="8" w:space="0" w:color="000000"/>
              <w:left w:val="single" w:sz="8" w:space="0" w:color="000000"/>
              <w:bottom w:val="nil"/>
              <w:right w:val="nil"/>
            </w:tcBorders>
          </w:tcPr>
          <w:p w14:paraId="03761AE5" w14:textId="77777777" w:rsidR="0030208D" w:rsidRPr="002307F3" w:rsidRDefault="00046D2B" w:rsidP="00B61B39">
            <w:pPr>
              <w:spacing w:after="0"/>
            </w:pPr>
            <w:r w:rsidRPr="002307F3">
              <w:t>1.</w:t>
            </w:r>
          </w:p>
        </w:tc>
        <w:tc>
          <w:tcPr>
            <w:tcW w:w="8930" w:type="dxa"/>
            <w:gridSpan w:val="2"/>
            <w:tcBorders>
              <w:top w:val="single" w:sz="8" w:space="0" w:color="000000"/>
              <w:left w:val="nil"/>
              <w:bottom w:val="nil"/>
              <w:right w:val="single" w:sz="8" w:space="0" w:color="000000"/>
            </w:tcBorders>
            <w:shd w:val="clear" w:color="auto" w:fill="auto"/>
          </w:tcPr>
          <w:p w14:paraId="64F27910" w14:textId="1BAB3C4F" w:rsidR="0030208D" w:rsidRPr="002307F3" w:rsidRDefault="002307F3" w:rsidP="00C24646">
            <w:pPr>
              <w:rPr>
                <w:highlight w:val="yellow"/>
              </w:rPr>
            </w:pPr>
            <w:r w:rsidRPr="00A308CA">
              <w:rPr>
                <w:rFonts w:cs="Arial"/>
                <w:b/>
              </w:rPr>
              <w:t>Consider</w:t>
            </w:r>
            <w:r w:rsidRPr="002307F3">
              <w:rPr>
                <w:rFonts w:cs="Arial"/>
              </w:rPr>
              <w:t xml:space="preserve"> the </w:t>
            </w:r>
            <w:r w:rsidR="00A308CA">
              <w:rPr>
                <w:rFonts w:cs="Arial"/>
              </w:rPr>
              <w:t>application</w:t>
            </w:r>
            <w:r w:rsidR="00A308CA" w:rsidRPr="002307F3">
              <w:rPr>
                <w:rFonts w:cs="Arial"/>
              </w:rPr>
              <w:t xml:space="preserve"> </w:t>
            </w:r>
            <w:r w:rsidRPr="002307F3">
              <w:rPr>
                <w:rFonts w:cs="Arial"/>
              </w:rPr>
              <w:t xml:space="preserve">from the City of Oxford Licensed Taxicab Association </w:t>
            </w:r>
            <w:r w:rsidR="00A308CA">
              <w:rPr>
                <w:rFonts w:cs="Arial"/>
              </w:rPr>
              <w:t xml:space="preserve">(COLTA) </w:t>
            </w:r>
            <w:r w:rsidRPr="002307F3">
              <w:rPr>
                <w:rFonts w:cs="Arial"/>
              </w:rPr>
              <w:t>for a variation to the</w:t>
            </w:r>
            <w:r w:rsidR="00A308CA">
              <w:rPr>
                <w:rFonts w:cs="Arial"/>
              </w:rPr>
              <w:t xml:space="preserve"> current</w:t>
            </w:r>
            <w:r w:rsidRPr="002307F3">
              <w:rPr>
                <w:rFonts w:cs="Arial"/>
              </w:rPr>
              <w:t xml:space="preserve"> Hackney Carriage </w:t>
            </w:r>
            <w:r w:rsidR="00800EB6">
              <w:rPr>
                <w:rFonts w:cs="Arial"/>
              </w:rPr>
              <w:t xml:space="preserve">table of fares </w:t>
            </w:r>
            <w:r w:rsidRPr="002307F3">
              <w:rPr>
                <w:rFonts w:cs="Arial"/>
              </w:rPr>
              <w:t xml:space="preserve">in accordance with the information contained within this report; and </w:t>
            </w:r>
          </w:p>
        </w:tc>
      </w:tr>
      <w:tr w:rsidR="0030208D" w:rsidRPr="00975B07" w14:paraId="0403C32B" w14:textId="77777777" w:rsidTr="00AC0139">
        <w:trPr>
          <w:trHeight w:val="944"/>
        </w:trPr>
        <w:tc>
          <w:tcPr>
            <w:tcW w:w="426" w:type="dxa"/>
            <w:tcBorders>
              <w:top w:val="nil"/>
              <w:left w:val="single" w:sz="8" w:space="0" w:color="000000"/>
              <w:bottom w:val="nil"/>
              <w:right w:val="nil"/>
            </w:tcBorders>
          </w:tcPr>
          <w:p w14:paraId="4020184C" w14:textId="546904BF" w:rsidR="001C5082" w:rsidRDefault="00046D2B" w:rsidP="00B61B39">
            <w:pPr>
              <w:spacing w:after="0"/>
            </w:pPr>
            <w:r w:rsidRPr="002307F3">
              <w:t>2.</w:t>
            </w:r>
          </w:p>
          <w:p w14:paraId="781A2B6D" w14:textId="77777777" w:rsidR="00C24646" w:rsidRDefault="00C24646" w:rsidP="00B61B39">
            <w:pPr>
              <w:spacing w:after="0"/>
            </w:pPr>
          </w:p>
          <w:p w14:paraId="1F00E91D" w14:textId="77777777" w:rsidR="00C24646" w:rsidRDefault="00C24646" w:rsidP="00B61B39">
            <w:pPr>
              <w:spacing w:after="0"/>
            </w:pPr>
          </w:p>
          <w:p w14:paraId="00FBC266" w14:textId="56A3FF1A" w:rsidR="00C24646" w:rsidRPr="002307F3" w:rsidRDefault="00C24646" w:rsidP="00B61B39">
            <w:pPr>
              <w:spacing w:after="0"/>
            </w:pPr>
          </w:p>
        </w:tc>
        <w:tc>
          <w:tcPr>
            <w:tcW w:w="8930" w:type="dxa"/>
            <w:gridSpan w:val="2"/>
            <w:tcBorders>
              <w:top w:val="nil"/>
              <w:left w:val="nil"/>
              <w:bottom w:val="nil"/>
              <w:right w:val="single" w:sz="8" w:space="0" w:color="000000"/>
            </w:tcBorders>
            <w:shd w:val="clear" w:color="auto" w:fill="auto"/>
          </w:tcPr>
          <w:p w14:paraId="7D2EB5DC" w14:textId="765A9A4A" w:rsidR="0030208D" w:rsidRPr="002307F3" w:rsidRDefault="009C0276" w:rsidP="001C5082">
            <w:pPr>
              <w:rPr>
                <w:highlight w:val="yellow"/>
              </w:rPr>
            </w:pPr>
            <w:r>
              <w:rPr>
                <w:rFonts w:cs="Arial"/>
                <w:b/>
              </w:rPr>
              <w:t>Instruct</w:t>
            </w:r>
            <w:r w:rsidRPr="002307F3">
              <w:rPr>
                <w:rFonts w:cs="Arial"/>
              </w:rPr>
              <w:t xml:space="preserve"> the Head of </w:t>
            </w:r>
            <w:r>
              <w:rPr>
                <w:rFonts w:cs="Arial"/>
              </w:rPr>
              <w:t>Regulatory Services and Community Safety</w:t>
            </w:r>
            <w:r w:rsidRPr="002307F3">
              <w:rPr>
                <w:rFonts w:cs="Arial"/>
              </w:rPr>
              <w:t xml:space="preserve"> </w:t>
            </w:r>
            <w:r w:rsidR="001C5082">
              <w:rPr>
                <w:rFonts w:cs="Arial"/>
              </w:rPr>
              <w:t>in consultation with</w:t>
            </w:r>
            <w:r w:rsidR="001C5082" w:rsidRPr="002307F3">
              <w:rPr>
                <w:rFonts w:cs="Arial"/>
              </w:rPr>
              <w:t xml:space="preserve"> </w:t>
            </w:r>
            <w:r w:rsidRPr="002307F3">
              <w:rPr>
                <w:rFonts w:cs="Arial"/>
              </w:rPr>
              <w:t xml:space="preserve">the Head of Law and Governance </w:t>
            </w:r>
            <w:r>
              <w:rPr>
                <w:rFonts w:cs="Arial"/>
              </w:rPr>
              <w:t xml:space="preserve">to </w:t>
            </w:r>
            <w:r w:rsidRPr="002307F3">
              <w:rPr>
                <w:rFonts w:cs="Arial"/>
              </w:rPr>
              <w:t>carry out the statutory requirement of a public consultation</w:t>
            </w:r>
            <w:r>
              <w:rPr>
                <w:rFonts w:cs="Arial"/>
              </w:rPr>
              <w:t xml:space="preserve"> </w:t>
            </w:r>
            <w:r w:rsidR="001C5082">
              <w:rPr>
                <w:rFonts w:cs="Arial"/>
              </w:rPr>
              <w:t>on the</w:t>
            </w:r>
            <w:r>
              <w:rPr>
                <w:rFonts w:cs="Arial"/>
              </w:rPr>
              <w:t xml:space="preserve"> proposed table of fares variation</w:t>
            </w:r>
            <w:r w:rsidR="001C5082">
              <w:rPr>
                <w:rFonts w:cs="Arial"/>
              </w:rPr>
              <w:t>;</w:t>
            </w:r>
            <w:r w:rsidRPr="002307F3">
              <w:rPr>
                <w:rFonts w:cs="Arial"/>
              </w:rPr>
              <w:t xml:space="preserve"> and</w:t>
            </w:r>
          </w:p>
        </w:tc>
      </w:tr>
      <w:tr w:rsidR="00B61B39" w:rsidRPr="00975B07" w14:paraId="6370F30C" w14:textId="77777777" w:rsidTr="00AC0139">
        <w:trPr>
          <w:trHeight w:val="283"/>
        </w:trPr>
        <w:tc>
          <w:tcPr>
            <w:tcW w:w="426" w:type="dxa"/>
            <w:tcBorders>
              <w:top w:val="nil"/>
              <w:left w:val="single" w:sz="8" w:space="0" w:color="000000"/>
              <w:bottom w:val="single" w:sz="8" w:space="0" w:color="000000"/>
              <w:right w:val="nil"/>
            </w:tcBorders>
          </w:tcPr>
          <w:p w14:paraId="3493BB61" w14:textId="79F29FE4" w:rsidR="00B61B39" w:rsidRPr="002307F3" w:rsidRDefault="00B61B39" w:rsidP="00B61B39">
            <w:pPr>
              <w:spacing w:after="0"/>
            </w:pPr>
            <w:r>
              <w:t>3.</w:t>
            </w:r>
          </w:p>
        </w:tc>
        <w:tc>
          <w:tcPr>
            <w:tcW w:w="8930" w:type="dxa"/>
            <w:gridSpan w:val="2"/>
            <w:tcBorders>
              <w:top w:val="nil"/>
              <w:left w:val="nil"/>
              <w:bottom w:val="single" w:sz="8" w:space="0" w:color="000000"/>
              <w:right w:val="single" w:sz="8" w:space="0" w:color="000000"/>
            </w:tcBorders>
            <w:shd w:val="clear" w:color="auto" w:fill="auto"/>
          </w:tcPr>
          <w:p w14:paraId="228856A6" w14:textId="03FD366E" w:rsidR="00B61B39" w:rsidRDefault="00B61B39" w:rsidP="000F4B4F">
            <w:pPr>
              <w:rPr>
                <w:rFonts w:cs="Arial"/>
                <w:b/>
              </w:rPr>
            </w:pPr>
            <w:r>
              <w:rPr>
                <w:rFonts w:cs="Arial"/>
                <w:b/>
              </w:rPr>
              <w:t>D</w:t>
            </w:r>
            <w:r w:rsidRPr="009C0276">
              <w:rPr>
                <w:rFonts w:cs="Arial"/>
                <w:b/>
              </w:rPr>
              <w:t>elegate</w:t>
            </w:r>
            <w:r w:rsidRPr="002307F3">
              <w:rPr>
                <w:rFonts w:cs="Arial"/>
              </w:rPr>
              <w:t xml:space="preserve"> to the Chair and the Head of </w:t>
            </w:r>
            <w:r>
              <w:rPr>
                <w:rFonts w:cs="Arial"/>
              </w:rPr>
              <w:t>Regulatory Services and Community Safety to consider any response to the proposed variation.</w:t>
            </w:r>
          </w:p>
        </w:tc>
      </w:tr>
    </w:tbl>
    <w:p w14:paraId="1F63010B" w14:textId="77777777"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14:paraId="10793E4A" w14:textId="77777777" w:rsidTr="00C44BA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14:paraId="342BD438" w14:textId="77777777" w:rsidR="00966D42" w:rsidRPr="00975B07" w:rsidRDefault="00966D42" w:rsidP="00263EA3">
            <w:pPr>
              <w:jc w:val="center"/>
            </w:pPr>
            <w:r w:rsidRPr="00745BF0">
              <w:rPr>
                <w:rStyle w:val="Firstpagetablebold"/>
              </w:rPr>
              <w:t>Appendices</w:t>
            </w:r>
          </w:p>
        </w:tc>
      </w:tr>
      <w:tr w:rsidR="00ED5860" w:rsidRPr="00975B07" w14:paraId="797CF3F9" w14:textId="77777777" w:rsidTr="00C44BAE">
        <w:tc>
          <w:tcPr>
            <w:tcW w:w="2438" w:type="dxa"/>
            <w:tcBorders>
              <w:top w:val="single" w:sz="8" w:space="0" w:color="000000"/>
              <w:left w:val="single" w:sz="8" w:space="0" w:color="000000"/>
              <w:bottom w:val="nil"/>
              <w:right w:val="nil"/>
            </w:tcBorders>
            <w:shd w:val="clear" w:color="auto" w:fill="auto"/>
          </w:tcPr>
          <w:p w14:paraId="16575D79" w14:textId="77777777" w:rsidR="00ED5860" w:rsidRPr="00975B07" w:rsidRDefault="00ED5860" w:rsidP="004A6D2F">
            <w:r w:rsidRPr="00975B07">
              <w:t>Appendix 1</w:t>
            </w:r>
          </w:p>
        </w:tc>
        <w:tc>
          <w:tcPr>
            <w:tcW w:w="6918" w:type="dxa"/>
            <w:tcBorders>
              <w:top w:val="single" w:sz="8" w:space="0" w:color="000000"/>
              <w:left w:val="nil"/>
              <w:bottom w:val="nil"/>
              <w:right w:val="single" w:sz="8" w:space="0" w:color="000000"/>
            </w:tcBorders>
          </w:tcPr>
          <w:p w14:paraId="30A9B477" w14:textId="0AD22311" w:rsidR="00ED5860" w:rsidRPr="001356F1" w:rsidRDefault="00113FB5" w:rsidP="009C0276">
            <w:r>
              <w:t xml:space="preserve">Application for variation of </w:t>
            </w:r>
            <w:r w:rsidR="00A308CA">
              <w:t xml:space="preserve">Hackney Carriage </w:t>
            </w:r>
            <w:r w:rsidR="009C0276">
              <w:t>T</w:t>
            </w:r>
            <w:r w:rsidR="00800EB6">
              <w:t xml:space="preserve">able of </w:t>
            </w:r>
            <w:r w:rsidR="009C0276">
              <w:t>F</w:t>
            </w:r>
            <w:r w:rsidR="00800EB6">
              <w:t xml:space="preserve">ares </w:t>
            </w:r>
            <w:r w:rsidR="00116240">
              <w:t>from COLTA</w:t>
            </w:r>
          </w:p>
        </w:tc>
      </w:tr>
      <w:tr w:rsidR="00ED5860" w:rsidRPr="00975B07" w14:paraId="23A786AD" w14:textId="77777777" w:rsidTr="00C44BAE">
        <w:tc>
          <w:tcPr>
            <w:tcW w:w="2438" w:type="dxa"/>
            <w:tcBorders>
              <w:top w:val="nil"/>
              <w:left w:val="single" w:sz="8" w:space="0" w:color="000000"/>
              <w:bottom w:val="nil"/>
              <w:right w:val="nil"/>
            </w:tcBorders>
            <w:shd w:val="clear" w:color="auto" w:fill="auto"/>
          </w:tcPr>
          <w:p w14:paraId="49A880E2" w14:textId="77777777" w:rsidR="00ED5860" w:rsidRPr="002307F3" w:rsidRDefault="0030208D" w:rsidP="004A6D2F">
            <w:r w:rsidRPr="002307F3">
              <w:t>Appendix 2</w:t>
            </w:r>
          </w:p>
        </w:tc>
        <w:tc>
          <w:tcPr>
            <w:tcW w:w="6918" w:type="dxa"/>
            <w:tcBorders>
              <w:top w:val="nil"/>
              <w:left w:val="nil"/>
              <w:bottom w:val="nil"/>
              <w:right w:val="single" w:sz="8" w:space="0" w:color="000000"/>
            </w:tcBorders>
          </w:tcPr>
          <w:p w14:paraId="60652774" w14:textId="77777777" w:rsidR="00ED5860" w:rsidRPr="002307F3" w:rsidRDefault="00336EA1" w:rsidP="004A6D2F">
            <w:r>
              <w:t>Effect of Proposed Variation</w:t>
            </w:r>
          </w:p>
        </w:tc>
      </w:tr>
      <w:tr w:rsidR="0030208D" w:rsidRPr="00975B07" w14:paraId="68DFDC45" w14:textId="77777777" w:rsidTr="00C44BAE">
        <w:tc>
          <w:tcPr>
            <w:tcW w:w="2438" w:type="dxa"/>
            <w:tcBorders>
              <w:top w:val="nil"/>
              <w:left w:val="single" w:sz="8" w:space="0" w:color="000000"/>
              <w:bottom w:val="nil"/>
              <w:right w:val="nil"/>
            </w:tcBorders>
            <w:shd w:val="clear" w:color="auto" w:fill="auto"/>
          </w:tcPr>
          <w:p w14:paraId="6CE66626" w14:textId="77777777" w:rsidR="0030208D" w:rsidRPr="00336EA1" w:rsidRDefault="0030208D" w:rsidP="004A6D2F">
            <w:r w:rsidRPr="00336EA1">
              <w:t>Appendix 3</w:t>
            </w:r>
          </w:p>
        </w:tc>
        <w:tc>
          <w:tcPr>
            <w:tcW w:w="6918" w:type="dxa"/>
            <w:tcBorders>
              <w:top w:val="nil"/>
              <w:left w:val="nil"/>
              <w:bottom w:val="nil"/>
              <w:right w:val="single" w:sz="8" w:space="0" w:color="000000"/>
            </w:tcBorders>
          </w:tcPr>
          <w:p w14:paraId="5DE9AEB2" w14:textId="77777777" w:rsidR="0030208D" w:rsidRPr="00336EA1" w:rsidRDefault="00336EA1" w:rsidP="004A6D2F">
            <w:r w:rsidRPr="00336EA1">
              <w:t>Methodology for Calculating the Proposed Fare Variation</w:t>
            </w:r>
          </w:p>
        </w:tc>
      </w:tr>
      <w:tr w:rsidR="0030208D" w:rsidRPr="00975B07" w14:paraId="0E88882C" w14:textId="77777777" w:rsidTr="00FB7928">
        <w:tc>
          <w:tcPr>
            <w:tcW w:w="2438" w:type="dxa"/>
            <w:tcBorders>
              <w:top w:val="nil"/>
              <w:left w:val="single" w:sz="8" w:space="0" w:color="000000"/>
              <w:bottom w:val="nil"/>
              <w:right w:val="nil"/>
            </w:tcBorders>
            <w:shd w:val="clear" w:color="auto" w:fill="auto"/>
          </w:tcPr>
          <w:p w14:paraId="6F123BB3" w14:textId="77777777" w:rsidR="0030208D" w:rsidRPr="00336EA1" w:rsidRDefault="0030208D" w:rsidP="004A6D2F">
            <w:r w:rsidRPr="00336EA1">
              <w:t>Appendix 4</w:t>
            </w:r>
          </w:p>
        </w:tc>
        <w:tc>
          <w:tcPr>
            <w:tcW w:w="6918" w:type="dxa"/>
            <w:tcBorders>
              <w:top w:val="nil"/>
              <w:left w:val="nil"/>
              <w:bottom w:val="nil"/>
              <w:right w:val="single" w:sz="8" w:space="0" w:color="000000"/>
            </w:tcBorders>
          </w:tcPr>
          <w:p w14:paraId="29892CCD" w14:textId="4CD223EE" w:rsidR="0030208D" w:rsidRPr="00336EA1" w:rsidRDefault="00FB7928" w:rsidP="009C0276">
            <w:r w:rsidRPr="00336EA1">
              <w:t xml:space="preserve">Current Hackney Carriage </w:t>
            </w:r>
            <w:r w:rsidR="009C0276">
              <w:t>T</w:t>
            </w:r>
            <w:r w:rsidR="00800EB6">
              <w:t xml:space="preserve">able of </w:t>
            </w:r>
            <w:r w:rsidR="009C0276">
              <w:t>F</w:t>
            </w:r>
            <w:r w:rsidR="00800EB6">
              <w:t>ares</w:t>
            </w:r>
          </w:p>
        </w:tc>
      </w:tr>
      <w:tr w:rsidR="00FB7928" w:rsidRPr="00975B07" w14:paraId="4B84D289" w14:textId="77777777" w:rsidTr="00336EA1">
        <w:tc>
          <w:tcPr>
            <w:tcW w:w="2438" w:type="dxa"/>
            <w:tcBorders>
              <w:top w:val="nil"/>
              <w:left w:val="single" w:sz="8" w:space="0" w:color="000000"/>
              <w:bottom w:val="nil"/>
              <w:right w:val="nil"/>
            </w:tcBorders>
            <w:shd w:val="clear" w:color="auto" w:fill="auto"/>
          </w:tcPr>
          <w:p w14:paraId="26DCAF57" w14:textId="77777777" w:rsidR="00FB7928" w:rsidRPr="00336EA1" w:rsidRDefault="00FB7928" w:rsidP="004A6D2F">
            <w:r w:rsidRPr="00336EA1">
              <w:t>Appendix 5</w:t>
            </w:r>
          </w:p>
        </w:tc>
        <w:tc>
          <w:tcPr>
            <w:tcW w:w="6918" w:type="dxa"/>
            <w:tcBorders>
              <w:top w:val="nil"/>
              <w:left w:val="nil"/>
              <w:bottom w:val="nil"/>
              <w:right w:val="single" w:sz="8" w:space="0" w:color="000000"/>
            </w:tcBorders>
          </w:tcPr>
          <w:p w14:paraId="7B3F6EA6" w14:textId="652E9944" w:rsidR="00FB7928" w:rsidRPr="00336EA1" w:rsidRDefault="00336EA1" w:rsidP="009C0276">
            <w:r w:rsidRPr="00336EA1">
              <w:t xml:space="preserve">Proposed Hackney Carriage </w:t>
            </w:r>
            <w:r w:rsidR="009C0276">
              <w:t>T</w:t>
            </w:r>
            <w:r w:rsidR="00800EB6">
              <w:t xml:space="preserve">able of </w:t>
            </w:r>
            <w:r w:rsidR="009C0276">
              <w:t>F</w:t>
            </w:r>
            <w:r w:rsidR="00800EB6">
              <w:t>ares</w:t>
            </w:r>
          </w:p>
        </w:tc>
      </w:tr>
      <w:tr w:rsidR="00336EA1" w:rsidRPr="00975B07" w14:paraId="2A41352D" w14:textId="77777777" w:rsidTr="00C44BAE">
        <w:tc>
          <w:tcPr>
            <w:tcW w:w="2438" w:type="dxa"/>
            <w:tcBorders>
              <w:top w:val="nil"/>
              <w:left w:val="single" w:sz="8" w:space="0" w:color="000000"/>
              <w:bottom w:val="single" w:sz="8" w:space="0" w:color="000000"/>
              <w:right w:val="nil"/>
            </w:tcBorders>
            <w:shd w:val="clear" w:color="auto" w:fill="auto"/>
          </w:tcPr>
          <w:p w14:paraId="418DB1E7" w14:textId="77777777" w:rsidR="00336EA1" w:rsidRPr="00336EA1" w:rsidRDefault="00336EA1" w:rsidP="004A6D2F">
            <w:r>
              <w:t>Appendix 6</w:t>
            </w:r>
          </w:p>
        </w:tc>
        <w:tc>
          <w:tcPr>
            <w:tcW w:w="6918" w:type="dxa"/>
            <w:tcBorders>
              <w:top w:val="nil"/>
              <w:left w:val="nil"/>
              <w:bottom w:val="single" w:sz="8" w:space="0" w:color="000000"/>
              <w:right w:val="single" w:sz="8" w:space="0" w:color="000000"/>
            </w:tcBorders>
          </w:tcPr>
          <w:p w14:paraId="73EEC67A" w14:textId="383E7390" w:rsidR="00336EA1" w:rsidRPr="00336EA1" w:rsidRDefault="00336EA1" w:rsidP="00197178">
            <w:r>
              <w:t>Hackney</w:t>
            </w:r>
            <w:r w:rsidR="002C4E75">
              <w:t xml:space="preserve"> Carriage</w:t>
            </w:r>
            <w:r>
              <w:t xml:space="preserve"> </w:t>
            </w:r>
            <w:r w:rsidR="00197178">
              <w:t>T</w:t>
            </w:r>
            <w:r w:rsidR="00800EB6">
              <w:t xml:space="preserve">able of </w:t>
            </w:r>
            <w:r w:rsidR="00197178">
              <w:t>F</w:t>
            </w:r>
            <w:r w:rsidR="00800EB6">
              <w:t>ares</w:t>
            </w:r>
            <w:r>
              <w:t xml:space="preserve"> from other Licensing Authorities</w:t>
            </w:r>
          </w:p>
        </w:tc>
      </w:tr>
    </w:tbl>
    <w:p w14:paraId="22A1C6C2" w14:textId="77777777" w:rsidR="00C44BAE" w:rsidRDefault="00C44BAE" w:rsidP="004A6D2F">
      <w:pPr>
        <w:pStyle w:val="Heading1"/>
      </w:pPr>
    </w:p>
    <w:p w14:paraId="6449FA1C"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050CFB76" w14:textId="5629F5D4" w:rsidR="00205220" w:rsidRDefault="00205220" w:rsidP="00205220">
      <w:pPr>
        <w:pStyle w:val="ListParagraph"/>
      </w:pPr>
      <w:r w:rsidRPr="00205220">
        <w:t xml:space="preserve">Under section 65 of the Local Government (Miscellaneous Provisions) Act 1976 </w:t>
      </w:r>
      <w:r>
        <w:t xml:space="preserve">the Council </w:t>
      </w:r>
      <w:r w:rsidRPr="00205220">
        <w:t xml:space="preserve">may set the fares for Hackney Carriages within its </w:t>
      </w:r>
      <w:r>
        <w:t>area</w:t>
      </w:r>
      <w:r w:rsidRPr="00205220">
        <w:t>.</w:t>
      </w:r>
      <w:r>
        <w:t xml:space="preserve"> The section sets out </w:t>
      </w:r>
      <w:r w:rsidRPr="00205220">
        <w:t>the parameters for fixing and amending the fares/</w:t>
      </w:r>
      <w:r w:rsidR="000914B9" w:rsidRPr="00205220">
        <w:t>tariffs</w:t>
      </w:r>
      <w:r w:rsidRPr="00205220">
        <w:t xml:space="preserve"> for licensed hackney carriages by the Council.</w:t>
      </w:r>
    </w:p>
    <w:p w14:paraId="5E1797EF" w14:textId="77777777" w:rsidR="00205220" w:rsidRPr="00205220" w:rsidRDefault="00205220" w:rsidP="00205220">
      <w:pPr>
        <w:pStyle w:val="ListParagraph"/>
      </w:pPr>
      <w:r>
        <w:t>The Council</w:t>
      </w:r>
      <w:r w:rsidRPr="00205220">
        <w:t xml:space="preserve"> may not set fares for journeys outside its </w:t>
      </w:r>
      <w:r>
        <w:t xml:space="preserve">area. </w:t>
      </w:r>
      <w:r w:rsidRPr="00205220">
        <w:t xml:space="preserve">The fare for journeys ending outside the </w:t>
      </w:r>
      <w:r>
        <w:t>area</w:t>
      </w:r>
      <w:r w:rsidRPr="00205220">
        <w:t xml:space="preserve"> may be negotiated separately between the hirer and driver, but are outside the control of the Council.</w:t>
      </w:r>
    </w:p>
    <w:p w14:paraId="4A2CA342" w14:textId="56BD97C9" w:rsidR="00E87F7A" w:rsidRDefault="005A7579" w:rsidP="00832CA1">
      <w:pPr>
        <w:pStyle w:val="ListParagraph"/>
      </w:pPr>
      <w:r w:rsidRPr="005A7579">
        <w:t>On 1</w:t>
      </w:r>
      <w:r>
        <w:t>3</w:t>
      </w:r>
      <w:r w:rsidRPr="005A7579">
        <w:rPr>
          <w:vertAlign w:val="superscript"/>
        </w:rPr>
        <w:t>th</w:t>
      </w:r>
      <w:r w:rsidRPr="005A7579">
        <w:t xml:space="preserve"> </w:t>
      </w:r>
      <w:r>
        <w:t>Nove</w:t>
      </w:r>
      <w:r w:rsidRPr="005A7579">
        <w:t>mber 201</w:t>
      </w:r>
      <w:r>
        <w:t>9</w:t>
      </w:r>
      <w:r w:rsidRPr="005A7579">
        <w:t xml:space="preserve">, </w:t>
      </w:r>
      <w:r w:rsidR="00832CA1">
        <w:t xml:space="preserve">the </w:t>
      </w:r>
      <w:r w:rsidR="00832CA1" w:rsidRPr="00832CA1">
        <w:t xml:space="preserve">City of Oxford Licensed Taxicab Association </w:t>
      </w:r>
      <w:r w:rsidR="00832CA1">
        <w:t>(“</w:t>
      </w:r>
      <w:r w:rsidRPr="005A7579">
        <w:t>COLTA</w:t>
      </w:r>
      <w:r w:rsidR="00832CA1">
        <w:t>”)</w:t>
      </w:r>
      <w:r w:rsidRPr="005A7579">
        <w:t xml:space="preserve"> submitted a </w:t>
      </w:r>
      <w:r w:rsidR="00A308CA">
        <w:t xml:space="preserve">formal </w:t>
      </w:r>
      <w:r w:rsidR="00113FB5">
        <w:t xml:space="preserve">application to </w:t>
      </w:r>
      <w:r w:rsidR="00800EB6">
        <w:t>request</w:t>
      </w:r>
      <w:r w:rsidR="002C4E75">
        <w:t xml:space="preserve"> to</w:t>
      </w:r>
      <w:r w:rsidR="00113FB5">
        <w:t xml:space="preserve"> var</w:t>
      </w:r>
      <w:r w:rsidR="002C4E75">
        <w:t>y</w:t>
      </w:r>
      <w:r w:rsidR="00113FB5">
        <w:t xml:space="preserve"> (increase) </w:t>
      </w:r>
      <w:r w:rsidR="002C4E75">
        <w:t xml:space="preserve">the </w:t>
      </w:r>
      <w:r w:rsidR="000914B9">
        <w:t>tariffs</w:t>
      </w:r>
      <w:r w:rsidR="00205220">
        <w:t xml:space="preserve"> in the </w:t>
      </w:r>
      <w:r w:rsidR="002C4E75">
        <w:t xml:space="preserve">current Hackney Carriage </w:t>
      </w:r>
      <w:r w:rsidR="00832CA1">
        <w:t>T</w:t>
      </w:r>
      <w:r w:rsidR="002C4E75">
        <w:t xml:space="preserve">able of </w:t>
      </w:r>
      <w:r w:rsidR="00832CA1">
        <w:t>F</w:t>
      </w:r>
      <w:r w:rsidR="002C4E75">
        <w:t>ares</w:t>
      </w:r>
      <w:r w:rsidR="00113FB5">
        <w:t xml:space="preserve"> set by the Council</w:t>
      </w:r>
      <w:r w:rsidR="00800EB6">
        <w:t>.</w:t>
      </w:r>
      <w:r w:rsidR="00113FB5">
        <w:t xml:space="preserve"> </w:t>
      </w:r>
      <w:r w:rsidRPr="005A7579">
        <w:t>A copy of the</w:t>
      </w:r>
      <w:r w:rsidR="00113FB5">
        <w:t xml:space="preserve"> application</w:t>
      </w:r>
      <w:r w:rsidR="002C4E75">
        <w:t xml:space="preserve"> providing the reasons for</w:t>
      </w:r>
      <w:r w:rsidR="00113FB5">
        <w:t xml:space="preserve"> the </w:t>
      </w:r>
      <w:r w:rsidR="00800EB6">
        <w:t>requested</w:t>
      </w:r>
      <w:r w:rsidR="00113FB5">
        <w:t xml:space="preserve"> </w:t>
      </w:r>
      <w:r w:rsidR="00131FAE">
        <w:t>variation</w:t>
      </w:r>
      <w:r w:rsidRPr="005A7579">
        <w:t xml:space="preserve"> can be found at </w:t>
      </w:r>
      <w:r w:rsidRPr="005A7579">
        <w:rPr>
          <w:b/>
        </w:rPr>
        <w:t>Appendix One</w:t>
      </w:r>
      <w:r w:rsidRPr="005A7579">
        <w:t>.</w:t>
      </w:r>
    </w:p>
    <w:p w14:paraId="2D800959" w14:textId="01156995" w:rsidR="005A7579" w:rsidRDefault="005A7579" w:rsidP="00113FB5">
      <w:pPr>
        <w:pStyle w:val="ListParagraph"/>
        <w:spacing w:after="0"/>
      </w:pPr>
      <w:r w:rsidRPr="00243D77">
        <w:t>Members are also informed about the requirement to undertake a</w:t>
      </w:r>
      <w:r w:rsidR="00832CA1" w:rsidRPr="00243D77">
        <w:t xml:space="preserve"> </w:t>
      </w:r>
      <w:r w:rsidRPr="00243D77">
        <w:t>statutory</w:t>
      </w:r>
      <w:r w:rsidR="00800EB6">
        <w:t xml:space="preserve"> public</w:t>
      </w:r>
      <w:r w:rsidR="00800EB6" w:rsidRPr="00243D77">
        <w:t xml:space="preserve"> consultation</w:t>
      </w:r>
      <w:r w:rsidR="00800EB6" w:rsidRPr="00800EB6">
        <w:rPr>
          <w:rFonts w:cs="Arial"/>
        </w:rPr>
        <w:t xml:space="preserve"> </w:t>
      </w:r>
      <w:r w:rsidR="00832CA1">
        <w:rPr>
          <w:rFonts w:cs="Arial"/>
        </w:rPr>
        <w:t>whenever a</w:t>
      </w:r>
      <w:r w:rsidR="00131FAE">
        <w:rPr>
          <w:rFonts w:cs="Arial"/>
        </w:rPr>
        <w:t xml:space="preserve"> </w:t>
      </w:r>
      <w:r w:rsidR="00D13F34">
        <w:rPr>
          <w:rFonts w:cs="Arial"/>
        </w:rPr>
        <w:t>variation of the</w:t>
      </w:r>
      <w:r w:rsidR="00800EB6">
        <w:rPr>
          <w:rFonts w:cs="Arial"/>
        </w:rPr>
        <w:t xml:space="preserve"> table of fares</w:t>
      </w:r>
      <w:r w:rsidR="00832CA1">
        <w:rPr>
          <w:rFonts w:cs="Arial"/>
        </w:rPr>
        <w:t xml:space="preserve"> is proposed. T</w:t>
      </w:r>
      <w:r w:rsidR="00800EB6">
        <w:rPr>
          <w:rFonts w:cs="Arial"/>
        </w:rPr>
        <w:t>he</w:t>
      </w:r>
      <w:r w:rsidR="00832CA1">
        <w:rPr>
          <w:rFonts w:cs="Arial"/>
        </w:rPr>
        <w:t>re</w:t>
      </w:r>
      <w:r w:rsidR="00800EB6">
        <w:rPr>
          <w:rFonts w:cs="Arial"/>
        </w:rPr>
        <w:t xml:space="preserve"> </w:t>
      </w:r>
      <w:r w:rsidR="00832CA1">
        <w:rPr>
          <w:rFonts w:cs="Arial"/>
        </w:rPr>
        <w:t xml:space="preserve">is also a </w:t>
      </w:r>
      <w:r w:rsidR="00800EB6">
        <w:rPr>
          <w:rFonts w:cs="Arial"/>
        </w:rPr>
        <w:t xml:space="preserve">need to consider any </w:t>
      </w:r>
      <w:r w:rsidR="00AC0139">
        <w:rPr>
          <w:rFonts w:cs="Arial"/>
        </w:rPr>
        <w:t>response</w:t>
      </w:r>
      <w:r w:rsidR="001C5082">
        <w:rPr>
          <w:rFonts w:cs="Arial"/>
        </w:rPr>
        <w:t xml:space="preserve"> </w:t>
      </w:r>
      <w:r w:rsidR="00800EB6">
        <w:rPr>
          <w:rFonts w:cs="Arial"/>
        </w:rPr>
        <w:t>made in relation to the</w:t>
      </w:r>
      <w:r w:rsidR="00D13F34">
        <w:rPr>
          <w:rFonts w:cs="Arial"/>
        </w:rPr>
        <w:t xml:space="preserve"> proposed</w:t>
      </w:r>
      <w:r w:rsidR="00800EB6">
        <w:rPr>
          <w:rFonts w:cs="Arial"/>
        </w:rPr>
        <w:t xml:space="preserve"> variation</w:t>
      </w:r>
      <w:r w:rsidR="00832CA1">
        <w:rPr>
          <w:rFonts w:cs="Arial"/>
        </w:rPr>
        <w:t xml:space="preserve"> during the consultation period</w:t>
      </w:r>
      <w:r w:rsidR="00800EB6">
        <w:rPr>
          <w:rFonts w:cs="Arial"/>
        </w:rPr>
        <w:t>.</w:t>
      </w:r>
    </w:p>
    <w:p w14:paraId="23F3642A" w14:textId="77777777" w:rsidR="00113FB5" w:rsidRPr="001356F1" w:rsidRDefault="00113FB5" w:rsidP="00113FB5">
      <w:pPr>
        <w:pStyle w:val="ListParagraph"/>
        <w:numPr>
          <w:ilvl w:val="0"/>
          <w:numId w:val="0"/>
        </w:numPr>
        <w:spacing w:after="0"/>
        <w:ind w:left="426"/>
      </w:pPr>
    </w:p>
    <w:p w14:paraId="7411C76E" w14:textId="3A134B31" w:rsidR="00205220" w:rsidRDefault="00D13F34" w:rsidP="000F72C2">
      <w:pPr>
        <w:pStyle w:val="bParagraphtext"/>
        <w:numPr>
          <w:ilvl w:val="0"/>
          <w:numId w:val="0"/>
        </w:numPr>
      </w:pPr>
      <w:r>
        <w:rPr>
          <w:b/>
        </w:rPr>
        <w:t>Application for the</w:t>
      </w:r>
      <w:r w:rsidRPr="00F858B7">
        <w:rPr>
          <w:b/>
        </w:rPr>
        <w:t xml:space="preserve"> </w:t>
      </w:r>
      <w:r w:rsidR="00F858B7" w:rsidRPr="00F858B7">
        <w:rPr>
          <w:b/>
        </w:rPr>
        <w:t>Variation</w:t>
      </w:r>
      <w:r>
        <w:rPr>
          <w:b/>
        </w:rPr>
        <w:t xml:space="preserve"> of Hackney Carriage </w:t>
      </w:r>
      <w:r w:rsidR="000F72C2">
        <w:rPr>
          <w:b/>
        </w:rPr>
        <w:t>T</w:t>
      </w:r>
      <w:r>
        <w:rPr>
          <w:b/>
        </w:rPr>
        <w:t xml:space="preserve">able of </w:t>
      </w:r>
      <w:r w:rsidR="000F72C2">
        <w:rPr>
          <w:b/>
        </w:rPr>
        <w:t>F</w:t>
      </w:r>
      <w:r>
        <w:rPr>
          <w:b/>
        </w:rPr>
        <w:t>ares</w:t>
      </w:r>
    </w:p>
    <w:p w14:paraId="691CB2DB" w14:textId="071E5340" w:rsidR="00113FB5" w:rsidRDefault="00F858B7" w:rsidP="00205220">
      <w:pPr>
        <w:pStyle w:val="bParagraphtext"/>
      </w:pPr>
      <w:r w:rsidRPr="00F858B7">
        <w:t xml:space="preserve">The effect of the proposed variation as requested by COLTA for Tariff </w:t>
      </w:r>
      <w:r w:rsidRPr="00F858B7">
        <w:tab/>
        <w:t>One, Two and Three and comparing it wit</w:t>
      </w:r>
      <w:r>
        <w:t xml:space="preserve">h the current </w:t>
      </w:r>
      <w:r w:rsidR="00205220">
        <w:t>t</w:t>
      </w:r>
      <w:r>
        <w:t xml:space="preserve">ariffs is shown </w:t>
      </w:r>
      <w:r w:rsidRPr="00F858B7">
        <w:t xml:space="preserve">at </w:t>
      </w:r>
      <w:r w:rsidRPr="00336EA1">
        <w:rPr>
          <w:b/>
        </w:rPr>
        <w:t>Appendix Two</w:t>
      </w:r>
      <w:r w:rsidR="00113FB5">
        <w:rPr>
          <w:b/>
        </w:rPr>
        <w:t>.</w:t>
      </w:r>
      <w:r w:rsidRPr="00336EA1">
        <w:t xml:space="preserve">  </w:t>
      </w:r>
      <w:r w:rsidR="00113FB5">
        <w:t>T</w:t>
      </w:r>
      <w:r w:rsidRPr="00336EA1">
        <w:t xml:space="preserve">he methodology for calculating the proposed fares is shown at </w:t>
      </w:r>
      <w:r w:rsidRPr="00336EA1">
        <w:rPr>
          <w:b/>
        </w:rPr>
        <w:t>Appendix Three</w:t>
      </w:r>
      <w:r w:rsidRPr="00336EA1">
        <w:t xml:space="preserve">. </w:t>
      </w:r>
    </w:p>
    <w:p w14:paraId="0D066AFB" w14:textId="77777777" w:rsidR="00E87F7A" w:rsidRPr="00336EA1" w:rsidRDefault="00F858B7" w:rsidP="000F72C2">
      <w:pPr>
        <w:pStyle w:val="bParagraphtext"/>
        <w:numPr>
          <w:ilvl w:val="0"/>
          <w:numId w:val="0"/>
        </w:numPr>
        <w:spacing w:after="0"/>
        <w:ind w:left="426" w:hanging="426"/>
      </w:pPr>
      <w:r w:rsidRPr="00336EA1">
        <w:t xml:space="preserve"> </w:t>
      </w:r>
      <w:r w:rsidR="00E87F7A" w:rsidRPr="00336EA1">
        <w:t xml:space="preserve"> </w:t>
      </w:r>
    </w:p>
    <w:p w14:paraId="4A42D67B" w14:textId="4B9CC9C9" w:rsidR="00F02422" w:rsidRPr="00F02422" w:rsidRDefault="008D2E47" w:rsidP="00205220">
      <w:pPr>
        <w:pStyle w:val="bParagraphtext"/>
        <w:spacing w:after="0"/>
      </w:pPr>
      <w:r>
        <w:t>Paragraph 3, s</w:t>
      </w:r>
      <w:r w:rsidR="002B3449">
        <w:t xml:space="preserve">ection </w:t>
      </w:r>
      <w:r w:rsidR="002C4E75">
        <w:t>b</w:t>
      </w:r>
      <w:r w:rsidR="002B3449">
        <w:t xml:space="preserve"> of the application </w:t>
      </w:r>
      <w:r w:rsidR="00832CA1">
        <w:t xml:space="preserve">says that the </w:t>
      </w:r>
      <w:r w:rsidR="002B3449">
        <w:t>request</w:t>
      </w:r>
      <w:r w:rsidR="00832CA1">
        <w:t xml:space="preserve"> is made</w:t>
      </w:r>
      <w:r w:rsidR="002B3449">
        <w:t xml:space="preserve"> to</w:t>
      </w:r>
      <w:r w:rsidR="002B3449" w:rsidRPr="00F02422">
        <w:rPr>
          <w:i/>
        </w:rPr>
        <w:t xml:space="preserve"> “simplify the tariff structure and remove the need to negotiate fares for journeys undertake</w:t>
      </w:r>
      <w:r w:rsidR="001571BA">
        <w:rPr>
          <w:i/>
        </w:rPr>
        <w:t>[n]</w:t>
      </w:r>
      <w:r w:rsidR="002B3449" w:rsidRPr="00F02422">
        <w:rPr>
          <w:i/>
        </w:rPr>
        <w:t xml:space="preserve"> beyond the city boundary – which is the legal boundary for fare control, able to be exercised by Oxford City Council”</w:t>
      </w:r>
      <w:r w:rsidR="00E87F7A" w:rsidRPr="00F02422">
        <w:rPr>
          <w:i/>
        </w:rPr>
        <w:t>.</w:t>
      </w:r>
      <w:r w:rsidR="002B3449" w:rsidRPr="00F02422">
        <w:rPr>
          <w:i/>
        </w:rPr>
        <w:t xml:space="preserve"> </w:t>
      </w:r>
    </w:p>
    <w:p w14:paraId="012B087A" w14:textId="77777777" w:rsidR="00F02422" w:rsidRDefault="00F02422" w:rsidP="00F02422">
      <w:pPr>
        <w:pStyle w:val="ListParagraph"/>
        <w:numPr>
          <w:ilvl w:val="0"/>
          <w:numId w:val="0"/>
        </w:numPr>
        <w:ind w:left="426"/>
      </w:pPr>
    </w:p>
    <w:p w14:paraId="6AF0D0FD" w14:textId="507A5A73" w:rsidR="00E87F7A" w:rsidRDefault="002B3449" w:rsidP="00197178">
      <w:pPr>
        <w:pStyle w:val="ListParagraph"/>
      </w:pPr>
      <w:r>
        <w:t>Membe</w:t>
      </w:r>
      <w:r w:rsidR="00F02422">
        <w:t>rs must be informed that under S</w:t>
      </w:r>
      <w:r>
        <w:t xml:space="preserve">ection 65 of the </w:t>
      </w:r>
      <w:r w:rsidR="00F02422">
        <w:t>Local Government (</w:t>
      </w:r>
      <w:r>
        <w:t>Miscellaneous Provisions</w:t>
      </w:r>
      <w:r w:rsidR="00F02422">
        <w:t>)</w:t>
      </w:r>
      <w:r w:rsidR="002C4E75">
        <w:t xml:space="preserve"> Act 1976</w:t>
      </w:r>
      <w:r w:rsidR="00131FAE">
        <w:t xml:space="preserve"> such </w:t>
      </w:r>
      <w:r w:rsidR="00205220">
        <w:t xml:space="preserve">a </w:t>
      </w:r>
      <w:r w:rsidR="006373AB">
        <w:t xml:space="preserve">change </w:t>
      </w:r>
      <w:r>
        <w:t>is</w:t>
      </w:r>
      <w:r w:rsidR="00FB7928">
        <w:t xml:space="preserve"> not permitted by </w:t>
      </w:r>
      <w:r w:rsidR="00205220">
        <w:t xml:space="preserve">the </w:t>
      </w:r>
      <w:r w:rsidR="00FB7928">
        <w:t>legislation</w:t>
      </w:r>
      <w:r>
        <w:t xml:space="preserve"> and</w:t>
      </w:r>
      <w:r w:rsidR="00131FAE">
        <w:t xml:space="preserve"> should not be considered</w:t>
      </w:r>
      <w:r>
        <w:t xml:space="preserve">. </w:t>
      </w:r>
    </w:p>
    <w:p w14:paraId="338E5B3F" w14:textId="77777777" w:rsidR="00113FB5" w:rsidRPr="001356F1" w:rsidRDefault="00113FB5" w:rsidP="00F02422">
      <w:pPr>
        <w:pStyle w:val="ListParagraph"/>
        <w:numPr>
          <w:ilvl w:val="0"/>
          <w:numId w:val="0"/>
        </w:numPr>
        <w:spacing w:after="0"/>
        <w:ind w:left="426"/>
      </w:pPr>
    </w:p>
    <w:p w14:paraId="774F3D1A" w14:textId="5E8912A2" w:rsidR="00E87F7A" w:rsidRPr="000F73A2" w:rsidRDefault="00131FAE" w:rsidP="00F02422">
      <w:pPr>
        <w:pStyle w:val="bParagraphtext"/>
        <w:spacing w:after="0"/>
        <w:rPr>
          <w:color w:val="auto"/>
        </w:rPr>
      </w:pPr>
      <w:r>
        <w:rPr>
          <w:color w:val="auto"/>
        </w:rPr>
        <w:t>Paragraph 3, s</w:t>
      </w:r>
      <w:r w:rsidR="00336EA1" w:rsidRPr="000F73A2">
        <w:rPr>
          <w:color w:val="auto"/>
        </w:rPr>
        <w:t>ection</w:t>
      </w:r>
      <w:r w:rsidR="002C4E75">
        <w:rPr>
          <w:color w:val="auto"/>
        </w:rPr>
        <w:t xml:space="preserve"> d </w:t>
      </w:r>
      <w:r w:rsidR="00336EA1" w:rsidRPr="000F73A2">
        <w:rPr>
          <w:color w:val="auto"/>
        </w:rPr>
        <w:t xml:space="preserve">of the application requests a variation to the start time </w:t>
      </w:r>
      <w:r w:rsidR="00873132">
        <w:rPr>
          <w:color w:val="auto"/>
        </w:rPr>
        <w:t xml:space="preserve">of </w:t>
      </w:r>
      <w:r w:rsidR="00336EA1" w:rsidRPr="000F73A2">
        <w:rPr>
          <w:color w:val="auto"/>
        </w:rPr>
        <w:t>Tariff 2 on Saturdays</w:t>
      </w:r>
      <w:r w:rsidR="00873132">
        <w:rPr>
          <w:color w:val="auto"/>
        </w:rPr>
        <w:t xml:space="preserve">. It is proposed </w:t>
      </w:r>
      <w:r w:rsidR="00205220">
        <w:rPr>
          <w:color w:val="auto"/>
        </w:rPr>
        <w:t xml:space="preserve">that </w:t>
      </w:r>
      <w:r w:rsidR="00873132">
        <w:rPr>
          <w:color w:val="auto"/>
        </w:rPr>
        <w:t>Tariff 2</w:t>
      </w:r>
      <w:r w:rsidR="00336EA1" w:rsidRPr="000F73A2">
        <w:rPr>
          <w:color w:val="auto"/>
        </w:rPr>
        <w:t xml:space="preserve"> commence</w:t>
      </w:r>
      <w:r w:rsidR="00197178">
        <w:rPr>
          <w:color w:val="auto"/>
        </w:rPr>
        <w:t>s</w:t>
      </w:r>
      <w:r w:rsidR="00336EA1" w:rsidRPr="000F73A2">
        <w:rPr>
          <w:color w:val="auto"/>
        </w:rPr>
        <w:t xml:space="preserve"> at 18:00 hours from 2</w:t>
      </w:r>
      <w:r w:rsidR="000F73A2" w:rsidRPr="000F73A2">
        <w:rPr>
          <w:color w:val="auto"/>
        </w:rPr>
        <w:t>2</w:t>
      </w:r>
      <w:r w:rsidR="00336EA1" w:rsidRPr="000F73A2">
        <w:rPr>
          <w:color w:val="auto"/>
        </w:rPr>
        <w:t>:00 hours</w:t>
      </w:r>
      <w:r w:rsidR="00873132">
        <w:rPr>
          <w:color w:val="auto"/>
        </w:rPr>
        <w:t>.</w:t>
      </w:r>
      <w:r w:rsidR="00336EA1" w:rsidRPr="000F73A2">
        <w:rPr>
          <w:color w:val="auto"/>
        </w:rPr>
        <w:t xml:space="preserve"> </w:t>
      </w:r>
      <w:r w:rsidR="00873132">
        <w:rPr>
          <w:color w:val="auto"/>
        </w:rPr>
        <w:t>T</w:t>
      </w:r>
      <w:r w:rsidR="00336EA1" w:rsidRPr="000F73A2">
        <w:rPr>
          <w:color w:val="auto"/>
        </w:rPr>
        <w:t xml:space="preserve">he Licensing Authority has concerns that this may penalise late </w:t>
      </w:r>
      <w:r w:rsidR="00FD7310">
        <w:rPr>
          <w:color w:val="auto"/>
        </w:rPr>
        <w:t>evening</w:t>
      </w:r>
      <w:r w:rsidR="00336EA1" w:rsidRPr="000F73A2">
        <w:rPr>
          <w:color w:val="auto"/>
        </w:rPr>
        <w:t xml:space="preserve"> shoppers </w:t>
      </w:r>
      <w:r w:rsidR="00205220">
        <w:rPr>
          <w:color w:val="auto"/>
        </w:rPr>
        <w:t>since the</w:t>
      </w:r>
      <w:r w:rsidR="00336EA1" w:rsidRPr="000F73A2">
        <w:rPr>
          <w:color w:val="auto"/>
        </w:rPr>
        <w:t xml:space="preserve"> </w:t>
      </w:r>
      <w:r w:rsidR="00205220">
        <w:rPr>
          <w:color w:val="auto"/>
        </w:rPr>
        <w:t xml:space="preserve">shops in the </w:t>
      </w:r>
      <w:r w:rsidR="00336EA1" w:rsidRPr="000F73A2">
        <w:rPr>
          <w:color w:val="auto"/>
        </w:rPr>
        <w:t xml:space="preserve">Westgate </w:t>
      </w:r>
      <w:r w:rsidR="00205220">
        <w:rPr>
          <w:color w:val="auto"/>
        </w:rPr>
        <w:t>c</w:t>
      </w:r>
      <w:r w:rsidR="00336EA1" w:rsidRPr="000F73A2">
        <w:rPr>
          <w:color w:val="auto"/>
        </w:rPr>
        <w:t xml:space="preserve">entre </w:t>
      </w:r>
      <w:r w:rsidR="00205220">
        <w:rPr>
          <w:color w:val="auto"/>
        </w:rPr>
        <w:t>are</w:t>
      </w:r>
      <w:r w:rsidR="00336EA1" w:rsidRPr="000F73A2">
        <w:rPr>
          <w:color w:val="auto"/>
        </w:rPr>
        <w:t xml:space="preserve"> open until 20:00 hours</w:t>
      </w:r>
      <w:r w:rsidR="00E87F7A" w:rsidRPr="000F73A2">
        <w:rPr>
          <w:color w:val="auto"/>
        </w:rPr>
        <w:t>.</w:t>
      </w:r>
      <w:r w:rsidR="000F73A2" w:rsidRPr="000F73A2">
        <w:rPr>
          <w:color w:val="auto"/>
        </w:rPr>
        <w:t xml:space="preserve"> The current start time of </w:t>
      </w:r>
      <w:r w:rsidR="006373AB">
        <w:rPr>
          <w:color w:val="auto"/>
        </w:rPr>
        <w:t xml:space="preserve">Tariff 2 is </w:t>
      </w:r>
      <w:r w:rsidR="000F73A2" w:rsidRPr="000F73A2">
        <w:rPr>
          <w:color w:val="auto"/>
        </w:rPr>
        <w:t>22</w:t>
      </w:r>
      <w:r w:rsidR="00336EA1" w:rsidRPr="000F73A2">
        <w:rPr>
          <w:color w:val="auto"/>
        </w:rPr>
        <w:t xml:space="preserve">:00 hours </w:t>
      </w:r>
      <w:r w:rsidR="006373AB">
        <w:rPr>
          <w:color w:val="auto"/>
        </w:rPr>
        <w:t>and intended</w:t>
      </w:r>
      <w:r w:rsidR="006373AB" w:rsidRPr="000F73A2">
        <w:rPr>
          <w:color w:val="auto"/>
        </w:rPr>
        <w:t xml:space="preserve"> </w:t>
      </w:r>
      <w:r w:rsidR="00336EA1" w:rsidRPr="000F73A2">
        <w:rPr>
          <w:color w:val="auto"/>
        </w:rPr>
        <w:t xml:space="preserve">to capture those enjoying the night time economy of Oxford once all </w:t>
      </w:r>
      <w:r w:rsidR="006373AB">
        <w:rPr>
          <w:color w:val="auto"/>
        </w:rPr>
        <w:t xml:space="preserve">of </w:t>
      </w:r>
      <w:r w:rsidR="00336EA1" w:rsidRPr="000F73A2">
        <w:rPr>
          <w:color w:val="auto"/>
        </w:rPr>
        <w:t>the shopping visitors have departed from the city.</w:t>
      </w:r>
    </w:p>
    <w:p w14:paraId="7CFC4050" w14:textId="77777777" w:rsidR="005558DB" w:rsidRDefault="005558DB" w:rsidP="00113FB5">
      <w:pPr>
        <w:spacing w:after="0"/>
        <w:rPr>
          <w:b/>
        </w:rPr>
      </w:pPr>
    </w:p>
    <w:p w14:paraId="743C461A" w14:textId="77777777" w:rsidR="005558DB" w:rsidRDefault="005558DB" w:rsidP="00113FB5">
      <w:pPr>
        <w:spacing w:after="0"/>
        <w:rPr>
          <w:b/>
        </w:rPr>
      </w:pPr>
    </w:p>
    <w:p w14:paraId="475A5C30" w14:textId="77777777" w:rsidR="005558DB" w:rsidRDefault="005558DB" w:rsidP="00113FB5">
      <w:pPr>
        <w:spacing w:after="0"/>
        <w:rPr>
          <w:b/>
        </w:rPr>
      </w:pPr>
    </w:p>
    <w:p w14:paraId="1F144FAF" w14:textId="0F52A32A" w:rsidR="002C0FC0" w:rsidRDefault="006373AB" w:rsidP="00113FB5">
      <w:pPr>
        <w:spacing w:after="0"/>
        <w:rPr>
          <w:b/>
        </w:rPr>
      </w:pPr>
      <w:r>
        <w:rPr>
          <w:b/>
        </w:rPr>
        <w:t>Proposed Tariff Increases</w:t>
      </w:r>
    </w:p>
    <w:p w14:paraId="69419EC6" w14:textId="77777777" w:rsidR="00113FB5" w:rsidRPr="002C0FC0" w:rsidRDefault="00113FB5" w:rsidP="00113FB5">
      <w:pPr>
        <w:spacing w:after="0"/>
        <w:rPr>
          <w:b/>
        </w:rPr>
      </w:pPr>
    </w:p>
    <w:p w14:paraId="15750699" w14:textId="77777777" w:rsidR="002E1AF0" w:rsidRPr="002E1AF0" w:rsidRDefault="002E1AF0" w:rsidP="002E1AF0">
      <w:pPr>
        <w:pStyle w:val="ListParagraph"/>
        <w:rPr>
          <w:rFonts w:cs="Arial"/>
        </w:rPr>
      </w:pPr>
      <w:r w:rsidRPr="002E1AF0">
        <w:rPr>
          <w:rFonts w:cs="Arial"/>
        </w:rPr>
        <w:t xml:space="preserve">A copy of the current Hackney Carriage Table of Fares is attached at </w:t>
      </w:r>
      <w:r w:rsidRPr="000F72C2">
        <w:rPr>
          <w:rFonts w:cs="Arial"/>
          <w:b/>
        </w:rPr>
        <w:t xml:space="preserve">Appendix Four </w:t>
      </w:r>
      <w:r w:rsidRPr="002E1AF0">
        <w:rPr>
          <w:rFonts w:cs="Arial"/>
        </w:rPr>
        <w:t xml:space="preserve">and the proposed chart submitted by COLTA is attached at </w:t>
      </w:r>
      <w:r w:rsidRPr="000F72C2">
        <w:rPr>
          <w:rFonts w:cs="Arial"/>
          <w:b/>
        </w:rPr>
        <w:t>Appendix Five</w:t>
      </w:r>
      <w:r w:rsidRPr="002E1AF0">
        <w:rPr>
          <w:rFonts w:cs="Arial"/>
        </w:rPr>
        <w:t>.</w:t>
      </w:r>
    </w:p>
    <w:p w14:paraId="458AC7F1" w14:textId="6C2CC5BF" w:rsidR="00113FB5" w:rsidRPr="00113FB5" w:rsidRDefault="006373AB" w:rsidP="00113FB5">
      <w:pPr>
        <w:pStyle w:val="ListParagraph"/>
        <w:spacing w:after="0"/>
        <w:rPr>
          <w:rFonts w:cs="Arial"/>
        </w:rPr>
      </w:pPr>
      <w:r>
        <w:lastRenderedPageBreak/>
        <w:t xml:space="preserve">The proposed tariff increases can be evaluated by comparison with the Consumer Price Index (“CPI”) and the Retail Prices Index (“RPI”). </w:t>
      </w:r>
      <w:r w:rsidR="002C0FC0" w:rsidRPr="00746E5E">
        <w:t xml:space="preserve">The </w:t>
      </w:r>
      <w:r>
        <w:t xml:space="preserve">applicable </w:t>
      </w:r>
      <w:r w:rsidR="002C0FC0" w:rsidRPr="00746E5E">
        <w:t>percentage change in the CPI and RPI has been calculated from the period November 201</w:t>
      </w:r>
      <w:r w:rsidR="002C0FC0">
        <w:t xml:space="preserve">3 (when the last increase </w:t>
      </w:r>
      <w:r>
        <w:t xml:space="preserve">in the tariffs </w:t>
      </w:r>
      <w:r w:rsidR="002C0FC0">
        <w:t>was determined)</w:t>
      </w:r>
      <w:r w:rsidR="002C0FC0" w:rsidRPr="00746E5E">
        <w:t xml:space="preserve"> to </w:t>
      </w:r>
      <w:r w:rsidR="002C0FC0">
        <w:t>Septem</w:t>
      </w:r>
      <w:r w:rsidR="002C0FC0" w:rsidRPr="00746E5E">
        <w:t>ber 201</w:t>
      </w:r>
      <w:r w:rsidR="002C0FC0">
        <w:t>9</w:t>
      </w:r>
      <w:r w:rsidR="002C0FC0" w:rsidRPr="00746E5E">
        <w:t xml:space="preserve">.  </w:t>
      </w:r>
      <w:r>
        <w:t>F</w:t>
      </w:r>
      <w:r w:rsidR="002C0FC0" w:rsidRPr="00746E5E">
        <w:t xml:space="preserve">or that period the CPI percentage was </w:t>
      </w:r>
      <w:r w:rsidR="002C0FC0">
        <w:t>10% and the RP</w:t>
      </w:r>
      <w:r w:rsidR="002C0FC0" w:rsidRPr="00746E5E">
        <w:t xml:space="preserve">I percentage was </w:t>
      </w:r>
      <w:r w:rsidR="002C0FC0">
        <w:t>15</w:t>
      </w:r>
      <w:r w:rsidR="002C0FC0" w:rsidRPr="00746E5E">
        <w:t>%.</w:t>
      </w:r>
    </w:p>
    <w:p w14:paraId="78253067" w14:textId="77777777" w:rsidR="002C0FC0" w:rsidRPr="002C0FC0" w:rsidRDefault="002C0FC0" w:rsidP="00113FB5">
      <w:pPr>
        <w:pStyle w:val="ListParagraph"/>
        <w:numPr>
          <w:ilvl w:val="0"/>
          <w:numId w:val="0"/>
        </w:numPr>
        <w:spacing w:after="0"/>
        <w:ind w:left="426"/>
        <w:rPr>
          <w:rFonts w:cs="Arial"/>
        </w:rPr>
      </w:pPr>
      <w:r w:rsidRPr="00746E5E">
        <w:t xml:space="preserve">  </w:t>
      </w:r>
    </w:p>
    <w:p w14:paraId="45BEE70A" w14:textId="6EA73D5E" w:rsidR="002C0FC0" w:rsidRDefault="002C0FC0" w:rsidP="00113FB5">
      <w:pPr>
        <w:pStyle w:val="ListParagraph"/>
        <w:spacing w:after="0"/>
      </w:pPr>
      <w:r w:rsidRPr="00746E5E">
        <w:t>The average percentage on the requested increase by COLTA</w:t>
      </w:r>
      <w:r w:rsidRPr="00746E5E">
        <w:rPr>
          <w:color w:val="FF0000"/>
        </w:rPr>
        <w:t xml:space="preserve"> </w:t>
      </w:r>
      <w:r w:rsidRPr="00746E5E">
        <w:t xml:space="preserve">is comparable to the CPI and RPI increase </w:t>
      </w:r>
      <w:r w:rsidR="006373AB">
        <w:t>over the same period</w:t>
      </w:r>
      <w:r>
        <w:t xml:space="preserve">. </w:t>
      </w:r>
    </w:p>
    <w:p w14:paraId="47B23BC8" w14:textId="77777777" w:rsidR="00113FB5" w:rsidRDefault="00113FB5" w:rsidP="00F02422">
      <w:pPr>
        <w:pStyle w:val="ListParagraph"/>
        <w:numPr>
          <w:ilvl w:val="0"/>
          <w:numId w:val="0"/>
        </w:numPr>
        <w:spacing w:after="0"/>
        <w:ind w:left="426"/>
      </w:pPr>
    </w:p>
    <w:p w14:paraId="38B8A990" w14:textId="3DF60986" w:rsidR="00F02422" w:rsidRPr="006E5DB1" w:rsidRDefault="002C0FC0" w:rsidP="000F72C2">
      <w:pPr>
        <w:pStyle w:val="ListParagraph"/>
      </w:pPr>
      <w:r w:rsidRPr="00746E5E">
        <w:t>The Com</w:t>
      </w:r>
      <w:r w:rsidRPr="00FD7310">
        <w:t>mittee should note that</w:t>
      </w:r>
      <w:r w:rsidR="002E1AF0">
        <w:t>,</w:t>
      </w:r>
      <w:r w:rsidRPr="00FD7310">
        <w:t xml:space="preserve"> </w:t>
      </w:r>
      <w:r w:rsidR="002E1AF0" w:rsidRPr="002E1AF0">
        <w:t xml:space="preserve">due to the </w:t>
      </w:r>
      <w:r w:rsidR="002E1AF0">
        <w:t xml:space="preserve">time </w:t>
      </w:r>
      <w:r w:rsidR="002E1AF0" w:rsidRPr="002E1AF0">
        <w:t>require</w:t>
      </w:r>
      <w:r w:rsidR="002E1AF0">
        <w:t>d</w:t>
      </w:r>
      <w:r w:rsidR="002E1AF0" w:rsidRPr="002E1AF0">
        <w:t xml:space="preserve"> to carry out a </w:t>
      </w:r>
      <w:r w:rsidR="002E1AF0">
        <w:t xml:space="preserve">statutory </w:t>
      </w:r>
      <w:r w:rsidR="002E1AF0" w:rsidRPr="002E1AF0">
        <w:t>public consultation</w:t>
      </w:r>
      <w:r w:rsidR="002E1AF0">
        <w:t>,</w:t>
      </w:r>
      <w:r w:rsidR="002E1AF0" w:rsidRPr="002E1AF0">
        <w:t xml:space="preserve"> </w:t>
      </w:r>
      <w:r w:rsidRPr="00FD7310">
        <w:t>any variation,</w:t>
      </w:r>
      <w:r w:rsidR="000F72C2">
        <w:t xml:space="preserve"> </w:t>
      </w:r>
      <w:r w:rsidRPr="00FD7310">
        <w:t xml:space="preserve">is unlikely </w:t>
      </w:r>
      <w:r w:rsidR="002E1AF0">
        <w:t>to</w:t>
      </w:r>
      <w:r w:rsidRPr="00FD7310">
        <w:t xml:space="preserve"> take effect before </w:t>
      </w:r>
      <w:r w:rsidR="00FD7310" w:rsidRPr="00FD7310">
        <w:t>December</w:t>
      </w:r>
      <w:r w:rsidRPr="00FD7310">
        <w:t xml:space="preserve"> 2020</w:t>
      </w:r>
      <w:r w:rsidR="002E1AF0">
        <w:t>.</w:t>
      </w:r>
    </w:p>
    <w:p w14:paraId="05294DAF" w14:textId="2BE91575" w:rsidR="00113FB5" w:rsidRDefault="00113FB5" w:rsidP="00AC0139">
      <w:pPr>
        <w:spacing w:after="0"/>
      </w:pPr>
    </w:p>
    <w:p w14:paraId="1C95E3E1" w14:textId="77777777" w:rsidR="000F73A2" w:rsidRDefault="000F73A2" w:rsidP="00113FB5">
      <w:pPr>
        <w:spacing w:after="0"/>
        <w:rPr>
          <w:b/>
        </w:rPr>
      </w:pPr>
      <w:r>
        <w:rPr>
          <w:b/>
        </w:rPr>
        <w:t>Comparisons with Other Authorities</w:t>
      </w:r>
    </w:p>
    <w:p w14:paraId="3D53F625" w14:textId="77777777" w:rsidR="00113FB5" w:rsidRDefault="00113FB5" w:rsidP="00113FB5">
      <w:pPr>
        <w:spacing w:after="0"/>
      </w:pPr>
    </w:p>
    <w:p w14:paraId="5916C740" w14:textId="0BA5430F" w:rsidR="00336EA1" w:rsidRDefault="002E1AF0" w:rsidP="00FD7310">
      <w:pPr>
        <w:pStyle w:val="ListParagraph"/>
      </w:pPr>
      <w:r>
        <w:t>A</w:t>
      </w:r>
      <w:r w:rsidR="00336EA1" w:rsidRPr="00336EA1">
        <w:t xml:space="preserve"> copy of Hackney Carriage </w:t>
      </w:r>
      <w:r>
        <w:t>t</w:t>
      </w:r>
      <w:r w:rsidR="00336EA1" w:rsidRPr="00336EA1">
        <w:t xml:space="preserve">ariff </w:t>
      </w:r>
      <w:r>
        <w:t>c</w:t>
      </w:r>
      <w:r w:rsidR="00336EA1" w:rsidRPr="00336EA1">
        <w:t>hart</w:t>
      </w:r>
      <w:r w:rsidR="00336EA1">
        <w:t>s</w:t>
      </w:r>
      <w:r w:rsidR="00336EA1" w:rsidRPr="00336EA1">
        <w:t xml:space="preserve"> </w:t>
      </w:r>
      <w:r w:rsidR="00336EA1">
        <w:t xml:space="preserve">from </w:t>
      </w:r>
      <w:r w:rsidR="000F73A2">
        <w:t xml:space="preserve">other </w:t>
      </w:r>
      <w:r w:rsidR="00336EA1">
        <w:t xml:space="preserve">Licensing Authorities can be found at </w:t>
      </w:r>
      <w:r w:rsidR="00336EA1">
        <w:rPr>
          <w:b/>
        </w:rPr>
        <w:t>Appendix Six</w:t>
      </w:r>
      <w:r w:rsidR="00336EA1" w:rsidRPr="00336EA1">
        <w:t>.</w:t>
      </w:r>
      <w:r>
        <w:t xml:space="preserve"> This information allows a comparison with the fares set by neighbouring authorities as well as those further afield.</w:t>
      </w:r>
    </w:p>
    <w:p w14:paraId="59E6CBF9" w14:textId="77777777" w:rsidR="00FD7310" w:rsidRPr="00FD7310" w:rsidRDefault="00FD7310" w:rsidP="00FD7310">
      <w:pPr>
        <w:pStyle w:val="ListParagraph"/>
        <w:numPr>
          <w:ilvl w:val="0"/>
          <w:numId w:val="0"/>
        </w:numPr>
        <w:ind w:left="426"/>
      </w:pPr>
    </w:p>
    <w:p w14:paraId="062BF49D" w14:textId="77777777" w:rsidR="005A7579" w:rsidRDefault="005A7579" w:rsidP="005A7579">
      <w:pPr>
        <w:pStyle w:val="bParagraphtext"/>
        <w:numPr>
          <w:ilvl w:val="0"/>
          <w:numId w:val="0"/>
        </w:numPr>
        <w:rPr>
          <w:rFonts w:cs="Arial"/>
          <w:b/>
        </w:rPr>
      </w:pPr>
      <w:r w:rsidRPr="009218AF">
        <w:rPr>
          <w:rFonts w:cs="Arial"/>
          <w:b/>
        </w:rPr>
        <w:t>Consultation</w:t>
      </w:r>
    </w:p>
    <w:p w14:paraId="5F53E6C0" w14:textId="58835376" w:rsidR="005A7579" w:rsidRDefault="005A7579" w:rsidP="005A7579">
      <w:pPr>
        <w:pStyle w:val="ListParagraph"/>
      </w:pPr>
      <w:r w:rsidRPr="005A7579">
        <w:rPr>
          <w:rFonts w:cs="Arial"/>
        </w:rPr>
        <w:t xml:space="preserve">Should the Committee approve a variation to the Hackney Carriage </w:t>
      </w:r>
      <w:r w:rsidR="00641FDD">
        <w:rPr>
          <w:rFonts w:cs="Arial"/>
        </w:rPr>
        <w:t>Table of Fares</w:t>
      </w:r>
      <w:r w:rsidRPr="005A7579">
        <w:rPr>
          <w:rFonts w:cs="Arial"/>
        </w:rPr>
        <w:t xml:space="preserve">, a </w:t>
      </w:r>
      <w:r w:rsidR="002E1AF0">
        <w:rPr>
          <w:rFonts w:cs="Arial"/>
        </w:rPr>
        <w:t>p</w:t>
      </w:r>
      <w:r w:rsidRPr="005A7579">
        <w:rPr>
          <w:rFonts w:cs="Arial"/>
        </w:rPr>
        <w:t xml:space="preserve">ublic </w:t>
      </w:r>
      <w:r w:rsidR="002E1AF0">
        <w:rPr>
          <w:rFonts w:cs="Arial"/>
        </w:rPr>
        <w:t>n</w:t>
      </w:r>
      <w:r w:rsidRPr="005A7579">
        <w:rPr>
          <w:rFonts w:cs="Arial"/>
        </w:rPr>
        <w:t xml:space="preserve">otice </w:t>
      </w:r>
      <w:r w:rsidR="002E1AF0">
        <w:rPr>
          <w:rFonts w:cs="Arial"/>
        </w:rPr>
        <w:t>will</w:t>
      </w:r>
      <w:r w:rsidR="002E1AF0" w:rsidRPr="005A7579">
        <w:rPr>
          <w:rFonts w:cs="Arial"/>
        </w:rPr>
        <w:t xml:space="preserve"> </w:t>
      </w:r>
      <w:r w:rsidRPr="005A7579">
        <w:rPr>
          <w:rFonts w:cs="Arial"/>
        </w:rPr>
        <w:t xml:space="preserve">be required in a local newspaper providing details of the proposed variation, and a period of 14 days </w:t>
      </w:r>
      <w:r w:rsidR="000F4B4F">
        <w:rPr>
          <w:rFonts w:cs="Arial"/>
        </w:rPr>
        <w:t>will</w:t>
      </w:r>
      <w:r w:rsidR="000F4B4F" w:rsidRPr="005A7579">
        <w:rPr>
          <w:rFonts w:cs="Arial"/>
        </w:rPr>
        <w:t xml:space="preserve"> </w:t>
      </w:r>
      <w:r w:rsidRPr="005A7579">
        <w:rPr>
          <w:rFonts w:cs="Arial"/>
        </w:rPr>
        <w:t>commence for a public consultation</w:t>
      </w:r>
      <w:r w:rsidRPr="005A7579">
        <w:t>.</w:t>
      </w:r>
    </w:p>
    <w:p w14:paraId="30C84B09" w14:textId="77777777" w:rsidR="0040736F" w:rsidRPr="001356F1" w:rsidRDefault="002329CF" w:rsidP="004A6D2F">
      <w:pPr>
        <w:pStyle w:val="Heading1"/>
      </w:pPr>
      <w:r w:rsidRPr="001356F1">
        <w:t>Financial implications</w:t>
      </w:r>
    </w:p>
    <w:p w14:paraId="0EF378B5" w14:textId="77777777" w:rsidR="001329D2" w:rsidRDefault="00873132" w:rsidP="00336EA1">
      <w:pPr>
        <w:pStyle w:val="ListParagraph"/>
      </w:pPr>
      <w:r w:rsidRPr="00873132">
        <w:t>T</w:t>
      </w:r>
      <w:r w:rsidR="00E87F7A" w:rsidRPr="00873132">
        <w:t>her</w:t>
      </w:r>
      <w:r w:rsidRPr="00873132">
        <w:t>e are no financial implications to the Council.</w:t>
      </w:r>
    </w:p>
    <w:p w14:paraId="2D6A6277" w14:textId="77777777" w:rsidR="0040736F" w:rsidRPr="001356F1" w:rsidRDefault="00DA614B" w:rsidP="004A6D2F">
      <w:pPr>
        <w:pStyle w:val="Heading1"/>
      </w:pPr>
      <w:r w:rsidRPr="001356F1">
        <w:t>Legal issues</w:t>
      </w:r>
    </w:p>
    <w:p w14:paraId="00C7C408" w14:textId="77777777" w:rsidR="002E1AF0" w:rsidRPr="002E1AF0" w:rsidRDefault="002E1AF0" w:rsidP="002E1AF0">
      <w:pPr>
        <w:pStyle w:val="ListParagraph"/>
      </w:pPr>
      <w:r w:rsidRPr="002E1AF0">
        <w:t xml:space="preserve">If no objection to </w:t>
      </w:r>
      <w:r>
        <w:t>the proposed table of fares/</w:t>
      </w:r>
      <w:r w:rsidRPr="002E1AF0">
        <w:t xml:space="preserve"> variation is made within the period specified in the </w:t>
      </w:r>
      <w:r w:rsidR="000F4B4F">
        <w:t xml:space="preserve">newspaper </w:t>
      </w:r>
      <w:r w:rsidRPr="002E1AF0">
        <w:t>notice, or if all objections ar</w:t>
      </w:r>
      <w:r w:rsidR="000F4B4F">
        <w:t xml:space="preserve">e withdrawn, the table of fares/ </w:t>
      </w:r>
      <w:r w:rsidRPr="002E1AF0">
        <w:t xml:space="preserve">variation </w:t>
      </w:r>
      <w:r w:rsidR="000F4B4F">
        <w:t>will</w:t>
      </w:r>
      <w:r w:rsidRPr="002E1AF0">
        <w:t xml:space="preserve"> come into operation on the date of the expiration of the period specified in the notice or the date of withdrawal of the objection or, if more than one, of the last objection, whichever date is the later.</w:t>
      </w:r>
    </w:p>
    <w:p w14:paraId="5083C2A4" w14:textId="49644141" w:rsidR="000F72C2" w:rsidRDefault="002E1AF0" w:rsidP="005558DB">
      <w:pPr>
        <w:pStyle w:val="ListParagraph"/>
        <w:numPr>
          <w:ilvl w:val="0"/>
          <w:numId w:val="0"/>
        </w:numPr>
        <w:ind w:left="426"/>
      </w:pPr>
      <w:r w:rsidRPr="002E1AF0">
        <w:t xml:space="preserve">If </w:t>
      </w:r>
      <w:r w:rsidR="000F4B4F">
        <w:t xml:space="preserve">an </w:t>
      </w:r>
      <w:r w:rsidRPr="002E1AF0">
        <w:t xml:space="preserve">objection is made and is not withdrawn, the </w:t>
      </w:r>
      <w:r w:rsidR="000F4B4F">
        <w:t>C</w:t>
      </w:r>
      <w:r w:rsidRPr="002E1AF0">
        <w:t xml:space="preserve">ouncil </w:t>
      </w:r>
      <w:r w:rsidR="000F4B4F">
        <w:t>would have to</w:t>
      </w:r>
      <w:r w:rsidRPr="002E1AF0">
        <w:t xml:space="preserve"> set a further date, not later than two months after the first specified date, on which the table of fares, </w:t>
      </w:r>
      <w:r w:rsidR="000F4B4F">
        <w:t>will</w:t>
      </w:r>
      <w:r w:rsidRPr="002E1AF0">
        <w:t xml:space="preserve"> come into force with or without modifications after consideration of the objections.</w:t>
      </w:r>
    </w:p>
    <w:p w14:paraId="26282655" w14:textId="77777777" w:rsidR="005558DB" w:rsidRDefault="005558DB" w:rsidP="005558DB">
      <w:pPr>
        <w:pStyle w:val="ListParagraph"/>
        <w:numPr>
          <w:ilvl w:val="0"/>
          <w:numId w:val="0"/>
        </w:numPr>
        <w:ind w:left="426"/>
      </w:pPr>
    </w:p>
    <w:p w14:paraId="6D53403A" w14:textId="77777777" w:rsidR="005558DB" w:rsidRPr="00AC0139" w:rsidRDefault="005558DB" w:rsidP="005558DB">
      <w:pPr>
        <w:pStyle w:val="ListParagraph"/>
        <w:numPr>
          <w:ilvl w:val="0"/>
          <w:numId w:val="0"/>
        </w:numPr>
        <w:ind w:left="426"/>
        <w:rPr>
          <w:highlight w:val="yellow"/>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1B70477"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B82AA71"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ED1625B" w14:textId="77777777" w:rsidR="00E87F7A" w:rsidRPr="001356F1" w:rsidRDefault="00C153E5" w:rsidP="00A46E98">
            <w:r>
              <w:t>Emma Thompson</w:t>
            </w:r>
          </w:p>
        </w:tc>
      </w:tr>
      <w:tr w:rsidR="00DF093E" w:rsidRPr="001356F1" w14:paraId="54E14C3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533270A"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66D945C" w14:textId="77777777" w:rsidR="00E87F7A" w:rsidRPr="001356F1" w:rsidRDefault="00C153E5" w:rsidP="00A46E98">
            <w:r>
              <w:t>Senior Licensing Compliance Officer</w:t>
            </w:r>
          </w:p>
        </w:tc>
      </w:tr>
      <w:tr w:rsidR="00DF093E" w:rsidRPr="001356F1" w14:paraId="30DC7EB6" w14:textId="77777777" w:rsidTr="00A46E98">
        <w:trPr>
          <w:cantSplit/>
          <w:trHeight w:val="396"/>
        </w:trPr>
        <w:tc>
          <w:tcPr>
            <w:tcW w:w="3969" w:type="dxa"/>
            <w:tcBorders>
              <w:top w:val="nil"/>
              <w:left w:val="single" w:sz="8" w:space="0" w:color="000000"/>
              <w:bottom w:val="nil"/>
              <w:right w:val="nil"/>
            </w:tcBorders>
            <w:shd w:val="clear" w:color="auto" w:fill="auto"/>
          </w:tcPr>
          <w:p w14:paraId="623595B2"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CBCC4F3" w14:textId="77777777" w:rsidR="00E87F7A" w:rsidRPr="001356F1" w:rsidRDefault="00C153E5" w:rsidP="00A46E98">
            <w:r>
              <w:t>General Licensing</w:t>
            </w:r>
          </w:p>
        </w:tc>
      </w:tr>
      <w:tr w:rsidR="00DF093E" w:rsidRPr="001356F1" w14:paraId="13489608" w14:textId="77777777" w:rsidTr="00A46E98">
        <w:trPr>
          <w:cantSplit/>
          <w:trHeight w:val="396"/>
        </w:trPr>
        <w:tc>
          <w:tcPr>
            <w:tcW w:w="3969" w:type="dxa"/>
            <w:tcBorders>
              <w:top w:val="nil"/>
              <w:left w:val="single" w:sz="8" w:space="0" w:color="000000"/>
              <w:bottom w:val="nil"/>
              <w:right w:val="nil"/>
            </w:tcBorders>
            <w:shd w:val="clear" w:color="auto" w:fill="auto"/>
          </w:tcPr>
          <w:p w14:paraId="15F5DD31"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43368CF" w14:textId="77777777" w:rsidR="00E87F7A" w:rsidRPr="001356F1" w:rsidRDefault="00E87F7A" w:rsidP="00A46E98">
            <w:r w:rsidRPr="001356F1">
              <w:t xml:space="preserve">01865 </w:t>
            </w:r>
            <w:r w:rsidR="00C153E5">
              <w:t>252565</w:t>
            </w:r>
          </w:p>
        </w:tc>
      </w:tr>
      <w:tr w:rsidR="005570B5" w:rsidRPr="001356F1" w14:paraId="31AB30C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2B079A9"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738308C" w14:textId="77777777" w:rsidR="00E87F7A" w:rsidRPr="001356F1" w:rsidRDefault="00C153E5" w:rsidP="00A46E98">
            <w:pPr>
              <w:rPr>
                <w:rStyle w:val="Hyperlink"/>
                <w:color w:val="000000"/>
              </w:rPr>
            </w:pPr>
            <w:r>
              <w:rPr>
                <w:rStyle w:val="Hyperlink"/>
                <w:color w:val="000000"/>
              </w:rPr>
              <w:t>ethompson@oxford.gov.uk</w:t>
            </w:r>
          </w:p>
        </w:tc>
      </w:tr>
    </w:tbl>
    <w:p w14:paraId="0F7ABB1A" w14:textId="77777777" w:rsidR="00A4626B" w:rsidRDefault="00A4626B" w:rsidP="0093067A"/>
    <w:sectPr w:rsidR="00A4626B"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AFFF1" w14:textId="77777777" w:rsidR="00FE5758" w:rsidRDefault="00FE5758" w:rsidP="004A6D2F">
      <w:r>
        <w:separator/>
      </w:r>
    </w:p>
  </w:endnote>
  <w:endnote w:type="continuationSeparator" w:id="0">
    <w:p w14:paraId="33B41E43" w14:textId="77777777" w:rsidR="00FE5758" w:rsidRDefault="00FE575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101B" w14:textId="77777777" w:rsidR="00364FAD" w:rsidRDefault="00364FAD" w:rsidP="004A6D2F">
    <w:pPr>
      <w:pStyle w:val="Footer"/>
    </w:pPr>
    <w:r>
      <w:t>Do not use a footer or page numbers.</w:t>
    </w:r>
  </w:p>
  <w:p w14:paraId="2B24B9FF" w14:textId="77777777" w:rsidR="00364FAD" w:rsidRDefault="00364FAD" w:rsidP="004A6D2F">
    <w:pPr>
      <w:pStyle w:val="Footer"/>
    </w:pPr>
  </w:p>
  <w:p w14:paraId="3B002B7A"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D3042"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69EAC" w14:textId="77777777" w:rsidR="00FE5758" w:rsidRDefault="00FE5758" w:rsidP="004A6D2F">
      <w:r>
        <w:separator/>
      </w:r>
    </w:p>
  </w:footnote>
  <w:footnote w:type="continuationSeparator" w:id="0">
    <w:p w14:paraId="0DB1678D" w14:textId="77777777" w:rsidR="00FE5758" w:rsidRDefault="00FE575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AA39B" w14:textId="77777777" w:rsidR="00D5547E" w:rsidRDefault="00FE5758" w:rsidP="00D5547E">
    <w:pPr>
      <w:pStyle w:val="Header"/>
      <w:jc w:val="right"/>
    </w:pPr>
    <w:r>
      <w:rPr>
        <w:noProof/>
      </w:rPr>
      <w:drawing>
        <wp:inline distT="0" distB="0" distL="0" distR="0" wp14:anchorId="4F272219" wp14:editId="2B53EA4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abstractNum w:abstractNumId="33" w15:restartNumberingAfterBreak="0">
    <w:nsid w:val="7B7D3927"/>
    <w:multiLevelType w:val="hybridMultilevel"/>
    <w:tmpl w:val="8CB22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58"/>
    <w:rsid w:val="00001ADC"/>
    <w:rsid w:val="000117D4"/>
    <w:rsid w:val="00015AFD"/>
    <w:rsid w:val="000314D7"/>
    <w:rsid w:val="00045F8B"/>
    <w:rsid w:val="00046D2B"/>
    <w:rsid w:val="00056263"/>
    <w:rsid w:val="00064D8A"/>
    <w:rsid w:val="00064F82"/>
    <w:rsid w:val="00066510"/>
    <w:rsid w:val="00077523"/>
    <w:rsid w:val="000914B9"/>
    <w:rsid w:val="000C089F"/>
    <w:rsid w:val="000C3928"/>
    <w:rsid w:val="000C5E8E"/>
    <w:rsid w:val="000F4751"/>
    <w:rsid w:val="000F4B4F"/>
    <w:rsid w:val="000F72C2"/>
    <w:rsid w:val="000F73A2"/>
    <w:rsid w:val="0010524C"/>
    <w:rsid w:val="00110486"/>
    <w:rsid w:val="00111FB1"/>
    <w:rsid w:val="00113418"/>
    <w:rsid w:val="00113FB5"/>
    <w:rsid w:val="00116240"/>
    <w:rsid w:val="00131FAE"/>
    <w:rsid w:val="001329D2"/>
    <w:rsid w:val="001356F1"/>
    <w:rsid w:val="00136994"/>
    <w:rsid w:val="0014128E"/>
    <w:rsid w:val="00151888"/>
    <w:rsid w:val="001571BA"/>
    <w:rsid w:val="00170A2D"/>
    <w:rsid w:val="001808BC"/>
    <w:rsid w:val="00182B81"/>
    <w:rsid w:val="0018619D"/>
    <w:rsid w:val="00197178"/>
    <w:rsid w:val="001A011E"/>
    <w:rsid w:val="001A066A"/>
    <w:rsid w:val="001A13E6"/>
    <w:rsid w:val="001A5731"/>
    <w:rsid w:val="001B42C3"/>
    <w:rsid w:val="001C5082"/>
    <w:rsid w:val="001C5D5E"/>
    <w:rsid w:val="001D678D"/>
    <w:rsid w:val="001E03F8"/>
    <w:rsid w:val="001E1678"/>
    <w:rsid w:val="001E3376"/>
    <w:rsid w:val="00205220"/>
    <w:rsid w:val="002069B3"/>
    <w:rsid w:val="00226073"/>
    <w:rsid w:val="002307F3"/>
    <w:rsid w:val="002329CF"/>
    <w:rsid w:val="00232F5B"/>
    <w:rsid w:val="00247C29"/>
    <w:rsid w:val="00260467"/>
    <w:rsid w:val="00263EA3"/>
    <w:rsid w:val="00284F85"/>
    <w:rsid w:val="00290915"/>
    <w:rsid w:val="002A22E2"/>
    <w:rsid w:val="002B3449"/>
    <w:rsid w:val="002C0FC0"/>
    <w:rsid w:val="002C4E75"/>
    <w:rsid w:val="002C64F7"/>
    <w:rsid w:val="002E1AF0"/>
    <w:rsid w:val="002F41F2"/>
    <w:rsid w:val="00301BF3"/>
    <w:rsid w:val="0030208D"/>
    <w:rsid w:val="00323418"/>
    <w:rsid w:val="003357BF"/>
    <w:rsid w:val="00336EA1"/>
    <w:rsid w:val="00364FAD"/>
    <w:rsid w:val="0036738F"/>
    <w:rsid w:val="0036759C"/>
    <w:rsid w:val="00367AE5"/>
    <w:rsid w:val="00367D71"/>
    <w:rsid w:val="0038150A"/>
    <w:rsid w:val="003A4DD4"/>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2887"/>
    <w:rsid w:val="004D2626"/>
    <w:rsid w:val="004D481B"/>
    <w:rsid w:val="004D6E26"/>
    <w:rsid w:val="004D77D3"/>
    <w:rsid w:val="004E2959"/>
    <w:rsid w:val="004F20EF"/>
    <w:rsid w:val="0050321C"/>
    <w:rsid w:val="0054712D"/>
    <w:rsid w:val="00547EF6"/>
    <w:rsid w:val="005558DB"/>
    <w:rsid w:val="005570B5"/>
    <w:rsid w:val="00567E18"/>
    <w:rsid w:val="00575F5F"/>
    <w:rsid w:val="00581805"/>
    <w:rsid w:val="00585F76"/>
    <w:rsid w:val="005A34E4"/>
    <w:rsid w:val="005A7579"/>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373AB"/>
    <w:rsid w:val="00641FDD"/>
    <w:rsid w:val="00650811"/>
    <w:rsid w:val="00661D3E"/>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06D42"/>
    <w:rsid w:val="00713675"/>
    <w:rsid w:val="00715823"/>
    <w:rsid w:val="00737B93"/>
    <w:rsid w:val="00745BF0"/>
    <w:rsid w:val="007615FE"/>
    <w:rsid w:val="0076655C"/>
    <w:rsid w:val="007742DC"/>
    <w:rsid w:val="00791437"/>
    <w:rsid w:val="007A6122"/>
    <w:rsid w:val="007B0C2C"/>
    <w:rsid w:val="007B278E"/>
    <w:rsid w:val="007C5C23"/>
    <w:rsid w:val="007D7BDB"/>
    <w:rsid w:val="007E2A26"/>
    <w:rsid w:val="007F2348"/>
    <w:rsid w:val="00800EB6"/>
    <w:rsid w:val="00803F07"/>
    <w:rsid w:val="0080749A"/>
    <w:rsid w:val="00821FB8"/>
    <w:rsid w:val="00822ACD"/>
    <w:rsid w:val="00832CA1"/>
    <w:rsid w:val="00855C66"/>
    <w:rsid w:val="00871EE4"/>
    <w:rsid w:val="00873132"/>
    <w:rsid w:val="008A43AA"/>
    <w:rsid w:val="008B293F"/>
    <w:rsid w:val="008B7371"/>
    <w:rsid w:val="008D2E47"/>
    <w:rsid w:val="008D3DDB"/>
    <w:rsid w:val="008F573F"/>
    <w:rsid w:val="009034EC"/>
    <w:rsid w:val="0093067A"/>
    <w:rsid w:val="00941C60"/>
    <w:rsid w:val="00941FD1"/>
    <w:rsid w:val="00966D42"/>
    <w:rsid w:val="00971689"/>
    <w:rsid w:val="00973E90"/>
    <w:rsid w:val="00975B07"/>
    <w:rsid w:val="00980B4A"/>
    <w:rsid w:val="009C0276"/>
    <w:rsid w:val="009E3D0A"/>
    <w:rsid w:val="009E51FC"/>
    <w:rsid w:val="009F1D28"/>
    <w:rsid w:val="009F7618"/>
    <w:rsid w:val="00A04D23"/>
    <w:rsid w:val="00A06766"/>
    <w:rsid w:val="00A13765"/>
    <w:rsid w:val="00A21B12"/>
    <w:rsid w:val="00A23F80"/>
    <w:rsid w:val="00A24F85"/>
    <w:rsid w:val="00A308CA"/>
    <w:rsid w:val="00A4626B"/>
    <w:rsid w:val="00A46E98"/>
    <w:rsid w:val="00A6352B"/>
    <w:rsid w:val="00A701B5"/>
    <w:rsid w:val="00A714BB"/>
    <w:rsid w:val="00A77147"/>
    <w:rsid w:val="00A92D8F"/>
    <w:rsid w:val="00AB2988"/>
    <w:rsid w:val="00AB7999"/>
    <w:rsid w:val="00AC0139"/>
    <w:rsid w:val="00AD3292"/>
    <w:rsid w:val="00AE7AF0"/>
    <w:rsid w:val="00B500CA"/>
    <w:rsid w:val="00B61B39"/>
    <w:rsid w:val="00B86314"/>
    <w:rsid w:val="00BA1C2E"/>
    <w:rsid w:val="00BC200B"/>
    <w:rsid w:val="00BC4756"/>
    <w:rsid w:val="00BC69A4"/>
    <w:rsid w:val="00BE0680"/>
    <w:rsid w:val="00BE305F"/>
    <w:rsid w:val="00BE7BA3"/>
    <w:rsid w:val="00BF5682"/>
    <w:rsid w:val="00BF7B09"/>
    <w:rsid w:val="00C153E5"/>
    <w:rsid w:val="00C20A95"/>
    <w:rsid w:val="00C24646"/>
    <w:rsid w:val="00C2692F"/>
    <w:rsid w:val="00C3207C"/>
    <w:rsid w:val="00C400E1"/>
    <w:rsid w:val="00C41187"/>
    <w:rsid w:val="00C44BAE"/>
    <w:rsid w:val="00C63C31"/>
    <w:rsid w:val="00C7058E"/>
    <w:rsid w:val="00C757A0"/>
    <w:rsid w:val="00C760DE"/>
    <w:rsid w:val="00C82630"/>
    <w:rsid w:val="00C85B4E"/>
    <w:rsid w:val="00C907F7"/>
    <w:rsid w:val="00CA2103"/>
    <w:rsid w:val="00CB6B99"/>
    <w:rsid w:val="00CE4C87"/>
    <w:rsid w:val="00CE544A"/>
    <w:rsid w:val="00D11E1C"/>
    <w:rsid w:val="00D13F34"/>
    <w:rsid w:val="00D160B0"/>
    <w:rsid w:val="00D17F94"/>
    <w:rsid w:val="00D223FC"/>
    <w:rsid w:val="00D26D1E"/>
    <w:rsid w:val="00D474CF"/>
    <w:rsid w:val="00D5547E"/>
    <w:rsid w:val="00D57F03"/>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2422"/>
    <w:rsid w:val="00F05ECA"/>
    <w:rsid w:val="00F3566E"/>
    <w:rsid w:val="00F375FB"/>
    <w:rsid w:val="00F41AC1"/>
    <w:rsid w:val="00F4367A"/>
    <w:rsid w:val="00F445B1"/>
    <w:rsid w:val="00F45CD4"/>
    <w:rsid w:val="00F653C7"/>
    <w:rsid w:val="00F66DCA"/>
    <w:rsid w:val="00F74F53"/>
    <w:rsid w:val="00F7606D"/>
    <w:rsid w:val="00F81670"/>
    <w:rsid w:val="00F82024"/>
    <w:rsid w:val="00F858B7"/>
    <w:rsid w:val="00F95BC9"/>
    <w:rsid w:val="00FA624C"/>
    <w:rsid w:val="00FB7928"/>
    <w:rsid w:val="00FD0FAC"/>
    <w:rsid w:val="00FD1DFA"/>
    <w:rsid w:val="00FD4966"/>
    <w:rsid w:val="00FD7310"/>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2F11B40"/>
  <w15:docId w15:val="{69BA263F-69F4-44E9-89CD-2149A91A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535268227">
      <w:bodyDiv w:val="1"/>
      <w:marLeft w:val="0"/>
      <w:marRight w:val="0"/>
      <w:marTop w:val="0"/>
      <w:marBottom w:val="0"/>
      <w:divBdr>
        <w:top w:val="none" w:sz="0" w:space="0" w:color="auto"/>
        <w:left w:val="none" w:sz="0" w:space="0" w:color="auto"/>
        <w:bottom w:val="none" w:sz="0" w:space="0" w:color="auto"/>
        <w:right w:val="none" w:sz="0" w:space="0" w:color="auto"/>
      </w:divBdr>
      <w:divsChild>
        <w:div w:id="1451629752">
          <w:marLeft w:val="0"/>
          <w:marRight w:val="0"/>
          <w:marTop w:val="0"/>
          <w:marBottom w:val="0"/>
          <w:divBdr>
            <w:top w:val="none" w:sz="0" w:space="0" w:color="auto"/>
            <w:left w:val="none" w:sz="0" w:space="0" w:color="auto"/>
            <w:bottom w:val="none" w:sz="0" w:space="0" w:color="auto"/>
            <w:right w:val="none" w:sz="0" w:space="0" w:color="auto"/>
          </w:divBdr>
          <w:divsChild>
            <w:div w:id="862519799">
              <w:marLeft w:val="0"/>
              <w:marRight w:val="0"/>
              <w:marTop w:val="0"/>
              <w:marBottom w:val="0"/>
              <w:divBdr>
                <w:top w:val="none" w:sz="0" w:space="0" w:color="auto"/>
                <w:left w:val="none" w:sz="0" w:space="0" w:color="auto"/>
                <w:bottom w:val="none" w:sz="0" w:space="0" w:color="auto"/>
                <w:right w:val="none" w:sz="0" w:space="0" w:color="auto"/>
              </w:divBdr>
              <w:divsChild>
                <w:div w:id="1130245511">
                  <w:marLeft w:val="0"/>
                  <w:marRight w:val="0"/>
                  <w:marTop w:val="0"/>
                  <w:marBottom w:val="0"/>
                  <w:divBdr>
                    <w:top w:val="none" w:sz="0" w:space="0" w:color="auto"/>
                    <w:left w:val="none" w:sz="0" w:space="0" w:color="auto"/>
                    <w:bottom w:val="none" w:sz="0" w:space="0" w:color="auto"/>
                    <w:right w:val="none" w:sz="0" w:space="0" w:color="auto"/>
                  </w:divBdr>
                  <w:divsChild>
                    <w:div w:id="1755588876">
                      <w:marLeft w:val="0"/>
                      <w:marRight w:val="0"/>
                      <w:marTop w:val="0"/>
                      <w:marBottom w:val="0"/>
                      <w:divBdr>
                        <w:top w:val="none" w:sz="0" w:space="0" w:color="auto"/>
                        <w:left w:val="none" w:sz="0" w:space="0" w:color="auto"/>
                        <w:bottom w:val="none" w:sz="0" w:space="0" w:color="auto"/>
                        <w:right w:val="none" w:sz="0" w:space="0" w:color="auto"/>
                      </w:divBdr>
                      <w:divsChild>
                        <w:div w:id="988292645">
                          <w:marLeft w:val="0"/>
                          <w:marRight w:val="0"/>
                          <w:marTop w:val="0"/>
                          <w:marBottom w:val="0"/>
                          <w:divBdr>
                            <w:top w:val="none" w:sz="0" w:space="0" w:color="auto"/>
                            <w:left w:val="none" w:sz="0" w:space="0" w:color="auto"/>
                            <w:bottom w:val="none" w:sz="0" w:space="0" w:color="auto"/>
                            <w:right w:val="none" w:sz="0" w:space="0" w:color="auto"/>
                          </w:divBdr>
                          <w:divsChild>
                            <w:div w:id="857083222">
                              <w:marLeft w:val="0"/>
                              <w:marRight w:val="0"/>
                              <w:marTop w:val="0"/>
                              <w:marBottom w:val="0"/>
                              <w:divBdr>
                                <w:top w:val="none" w:sz="0" w:space="0" w:color="auto"/>
                                <w:left w:val="none" w:sz="0" w:space="0" w:color="auto"/>
                                <w:bottom w:val="none" w:sz="0" w:space="0" w:color="auto"/>
                                <w:right w:val="none" w:sz="0" w:space="0" w:color="auto"/>
                              </w:divBdr>
                              <w:divsChild>
                                <w:div w:id="607129943">
                                  <w:marLeft w:val="0"/>
                                  <w:marRight w:val="0"/>
                                  <w:marTop w:val="0"/>
                                  <w:marBottom w:val="0"/>
                                  <w:divBdr>
                                    <w:top w:val="none" w:sz="0" w:space="0" w:color="auto"/>
                                    <w:left w:val="none" w:sz="0" w:space="0" w:color="auto"/>
                                    <w:bottom w:val="none" w:sz="0" w:space="0" w:color="auto"/>
                                    <w:right w:val="none" w:sz="0" w:space="0" w:color="auto"/>
                                  </w:divBdr>
                                  <w:divsChild>
                                    <w:div w:id="1183737614">
                                      <w:marLeft w:val="0"/>
                                      <w:marRight w:val="0"/>
                                      <w:marTop w:val="0"/>
                                      <w:marBottom w:val="0"/>
                                      <w:divBdr>
                                        <w:top w:val="none" w:sz="0" w:space="0" w:color="auto"/>
                                        <w:left w:val="none" w:sz="0" w:space="0" w:color="auto"/>
                                        <w:bottom w:val="none" w:sz="0" w:space="0" w:color="auto"/>
                                        <w:right w:val="none" w:sz="0" w:space="0" w:color="auto"/>
                                      </w:divBdr>
                                      <w:divsChild>
                                        <w:div w:id="528882418">
                                          <w:marLeft w:val="0"/>
                                          <w:marRight w:val="0"/>
                                          <w:marTop w:val="0"/>
                                          <w:marBottom w:val="0"/>
                                          <w:divBdr>
                                            <w:top w:val="none" w:sz="0" w:space="0" w:color="auto"/>
                                            <w:left w:val="none" w:sz="0" w:space="0" w:color="auto"/>
                                            <w:bottom w:val="none" w:sz="0" w:space="0" w:color="auto"/>
                                            <w:right w:val="none" w:sz="0" w:space="0" w:color="auto"/>
                                          </w:divBdr>
                                          <w:divsChild>
                                            <w:div w:id="556355604">
                                              <w:marLeft w:val="0"/>
                                              <w:marRight w:val="0"/>
                                              <w:marTop w:val="0"/>
                                              <w:marBottom w:val="0"/>
                                              <w:divBdr>
                                                <w:top w:val="none" w:sz="0" w:space="0" w:color="auto"/>
                                                <w:left w:val="none" w:sz="0" w:space="0" w:color="auto"/>
                                                <w:bottom w:val="none" w:sz="0" w:space="0" w:color="auto"/>
                                                <w:right w:val="none" w:sz="0" w:space="0" w:color="auto"/>
                                              </w:divBdr>
                                              <w:divsChild>
                                                <w:div w:id="155197159">
                                                  <w:marLeft w:val="0"/>
                                                  <w:marRight w:val="0"/>
                                                  <w:marTop w:val="0"/>
                                                  <w:marBottom w:val="0"/>
                                                  <w:divBdr>
                                                    <w:top w:val="none" w:sz="0" w:space="0" w:color="auto"/>
                                                    <w:left w:val="none" w:sz="0" w:space="0" w:color="auto"/>
                                                    <w:bottom w:val="none" w:sz="0" w:space="0" w:color="auto"/>
                                                    <w:right w:val="none" w:sz="0" w:space="0" w:color="auto"/>
                                                  </w:divBdr>
                                                  <w:divsChild>
                                                    <w:div w:id="306783261">
                                                      <w:marLeft w:val="0"/>
                                                      <w:marRight w:val="0"/>
                                                      <w:marTop w:val="0"/>
                                                      <w:marBottom w:val="0"/>
                                                      <w:divBdr>
                                                        <w:top w:val="none" w:sz="0" w:space="0" w:color="auto"/>
                                                        <w:left w:val="none" w:sz="0" w:space="0" w:color="auto"/>
                                                        <w:bottom w:val="none" w:sz="0" w:space="0" w:color="auto"/>
                                                        <w:right w:val="none" w:sz="0" w:space="0" w:color="auto"/>
                                                      </w:divBdr>
                                                      <w:divsChild>
                                                        <w:div w:id="1873416554">
                                                          <w:marLeft w:val="0"/>
                                                          <w:marRight w:val="0"/>
                                                          <w:marTop w:val="0"/>
                                                          <w:marBottom w:val="0"/>
                                                          <w:divBdr>
                                                            <w:top w:val="none" w:sz="0" w:space="0" w:color="auto"/>
                                                            <w:left w:val="none" w:sz="0" w:space="0" w:color="auto"/>
                                                            <w:bottom w:val="none" w:sz="0" w:space="0" w:color="auto"/>
                                                            <w:right w:val="none" w:sz="0" w:space="0" w:color="auto"/>
                                                          </w:divBdr>
                                                          <w:divsChild>
                                                            <w:div w:id="1027488878">
                                                              <w:marLeft w:val="0"/>
                                                              <w:marRight w:val="0"/>
                                                              <w:marTop w:val="0"/>
                                                              <w:marBottom w:val="0"/>
                                                              <w:divBdr>
                                                                <w:top w:val="none" w:sz="0" w:space="0" w:color="auto"/>
                                                                <w:left w:val="none" w:sz="0" w:space="0" w:color="auto"/>
                                                                <w:bottom w:val="none" w:sz="0" w:space="0" w:color="auto"/>
                                                                <w:right w:val="none" w:sz="0" w:space="0" w:color="auto"/>
                                                              </w:divBdr>
                                                              <w:divsChild>
                                                                <w:div w:id="496385143">
                                                                  <w:marLeft w:val="0"/>
                                                                  <w:marRight w:val="0"/>
                                                                  <w:marTop w:val="0"/>
                                                                  <w:marBottom w:val="0"/>
                                                                  <w:divBdr>
                                                                    <w:top w:val="none" w:sz="0" w:space="0" w:color="auto"/>
                                                                    <w:left w:val="none" w:sz="0" w:space="0" w:color="auto"/>
                                                                    <w:bottom w:val="none" w:sz="0" w:space="0" w:color="auto"/>
                                                                    <w:right w:val="none" w:sz="0" w:space="0" w:color="auto"/>
                                                                  </w:divBdr>
                                                                  <w:divsChild>
                                                                    <w:div w:id="1119177137">
                                                                      <w:marLeft w:val="0"/>
                                                                      <w:marRight w:val="0"/>
                                                                      <w:marTop w:val="0"/>
                                                                      <w:marBottom w:val="0"/>
                                                                      <w:divBdr>
                                                                        <w:top w:val="none" w:sz="0" w:space="0" w:color="auto"/>
                                                                        <w:left w:val="none" w:sz="0" w:space="0" w:color="auto"/>
                                                                        <w:bottom w:val="none" w:sz="0" w:space="0" w:color="auto"/>
                                                                        <w:right w:val="none" w:sz="0" w:space="0" w:color="auto"/>
                                                                      </w:divBdr>
                                                                      <w:divsChild>
                                                                        <w:div w:id="712383293">
                                                                          <w:marLeft w:val="0"/>
                                                                          <w:marRight w:val="0"/>
                                                                          <w:marTop w:val="0"/>
                                                                          <w:marBottom w:val="0"/>
                                                                          <w:divBdr>
                                                                            <w:top w:val="none" w:sz="0" w:space="0" w:color="auto"/>
                                                                            <w:left w:val="none" w:sz="0" w:space="0" w:color="auto"/>
                                                                            <w:bottom w:val="none" w:sz="0" w:space="0" w:color="auto"/>
                                                                            <w:right w:val="none" w:sz="0" w:space="0" w:color="auto"/>
                                                                          </w:divBdr>
                                                                        </w:div>
                                                                        <w:div w:id="20329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E5FE-568B-4526-84ED-4B533A80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FCA1A8D9</Template>
  <TotalTime>7</TotalTime>
  <Pages>4</Pages>
  <Words>1010</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MITCHELL John</cp:lastModifiedBy>
  <cp:revision>4</cp:revision>
  <cp:lastPrinted>2015-07-03T13:50:00Z</cp:lastPrinted>
  <dcterms:created xsi:type="dcterms:W3CDTF">2020-09-10T13:07:00Z</dcterms:created>
  <dcterms:modified xsi:type="dcterms:W3CDTF">2020-09-14T08:57:00Z</dcterms:modified>
</cp:coreProperties>
</file>